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default" w:eastAsia="ＭＳ 明朝"/>
          <w:color w:val="auto"/>
        </w:rPr>
      </w:pPr>
      <w:r>
        <w:rPr>
          <w:rFonts w:hint="eastAsia" w:eastAsia="ＭＳ 明朝"/>
          <w:color w:val="auto"/>
        </w:rPr>
        <w:t>　　</w:t>
      </w:r>
    </w:p>
    <w:p>
      <w:pPr>
        <w:pStyle w:val="15"/>
        <w:jc w:val="right"/>
        <w:rPr>
          <w:rFonts w:hint="default"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spacing w:line="440" w:lineRule="exact"/>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tabs>
          <w:tab w:val="left" w:leader="none" w:pos="2298"/>
        </w:tabs>
        <w:rPr>
          <w:rFonts w:hint="default" w:ascii="ＭＳ 明朝" w:hAnsi="ＭＳ 明朝" w:eastAsia="ＭＳ 明朝"/>
          <w:color w:val="auto"/>
          <w:spacing w:val="0"/>
        </w:rPr>
      </w:pPr>
      <w:r>
        <w:rPr>
          <w:rFonts w:hint="eastAsia" w:ascii="ＭＳ 明朝" w:hAnsi="ＭＳ 明朝" w:eastAsia="ＭＳ 明朝"/>
          <w:color w:val="auto"/>
          <w:spacing w:val="0"/>
        </w:rPr>
        <w:tab/>
      </w: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spacing w:line="616" w:lineRule="exact"/>
        <w:jc w:val="center"/>
        <w:rPr>
          <w:rFonts w:hint="default" w:ascii="ＭＳ 明朝" w:hAnsi="ＭＳ 明朝" w:eastAsia="ＭＳ 明朝"/>
          <w:color w:val="auto"/>
          <w:spacing w:val="0"/>
        </w:rPr>
      </w:pPr>
      <w:r>
        <w:rPr>
          <w:rFonts w:hint="eastAsia" w:ascii="ＭＳ 明朝" w:hAnsi="ＭＳ 明朝" w:eastAsia="ＭＳ 明朝"/>
          <w:b w:val="1"/>
          <w:color w:val="auto"/>
          <w:spacing w:val="7"/>
          <w:sz w:val="56"/>
        </w:rPr>
        <w:t>更別村森林整備計画</w:t>
      </w: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rPr>
      </w:pPr>
    </w:p>
    <w:p>
      <w:pPr>
        <w:pStyle w:val="15"/>
        <w:rPr>
          <w:rFonts w:hint="default" w:ascii="ＭＳ 明朝" w:hAnsi="ＭＳ 明朝" w:eastAsia="ＭＳ 明朝"/>
          <w:color w:val="auto"/>
        </w:rPr>
      </w:pPr>
    </w:p>
    <w:p>
      <w:pPr>
        <w:pStyle w:val="15"/>
        <w:rPr>
          <w:rFonts w:hint="default" w:ascii="ＭＳ 明朝" w:hAnsi="ＭＳ 明朝" w:eastAsia="ＭＳ 明朝"/>
          <w:color w:val="auto"/>
        </w:rPr>
      </w:pPr>
    </w:p>
    <w:p>
      <w:pPr>
        <w:pStyle w:val="15"/>
        <w:rPr>
          <w:rFonts w:hint="default" w:ascii="ＭＳ 明朝" w:hAnsi="ＭＳ 明朝" w:eastAsia="ＭＳ 明朝"/>
          <w:color w:val="auto"/>
        </w:rPr>
      </w:pPr>
    </w:p>
    <w:p>
      <w:pPr>
        <w:pStyle w:val="15"/>
        <w:rPr>
          <w:rFonts w:hint="default" w:ascii="ＭＳ 明朝" w:hAnsi="ＭＳ 明朝" w:eastAsia="ＭＳ 明朝"/>
          <w:color w:val="auto"/>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default" w:ascii="ＭＳ 明朝" w:hAnsi="ＭＳ 明朝" w:eastAsia="ＭＳ 明朝"/>
          <w:color w:val="auto"/>
          <w:spacing w:val="0"/>
        </w:rPr>
        <mc:AlternateContent>
          <mc:Choice Requires="wps">
            <w:drawing>
              <wp:anchor distT="0" distB="0" distL="114300" distR="114300" simplePos="0" relativeHeight="2" behindDoc="0" locked="0" layoutInCell="1" hidden="0" allowOverlap="1">
                <wp:simplePos x="0" y="0"/>
                <wp:positionH relativeFrom="column">
                  <wp:posOffset>4100830</wp:posOffset>
                </wp:positionH>
                <wp:positionV relativeFrom="paragraph">
                  <wp:posOffset>142240</wp:posOffset>
                </wp:positionV>
                <wp:extent cx="1981200" cy="514350"/>
                <wp:effectExtent l="635" t="635" r="29845" b="10795"/>
                <wp:wrapNone/>
                <wp:docPr id="1026" name="AutoShape 11"/>
                <a:graphic xmlns:a="http://schemas.openxmlformats.org/drawingml/2006/main">
                  <a:graphicData uri="http://schemas.microsoft.com/office/word/2010/wordprocessingShape">
                    <wps:wsp>
                      <wps:cNvPr id="1026" name="AutoShape 11"/>
                      <wps:cNvSpPr>
                        <a:spLocks noChangeArrowheads="1"/>
                      </wps:cNvSpPr>
                      <wps:spPr>
                        <a:xfrm>
                          <a:off x="0" y="0"/>
                          <a:ext cx="1981200" cy="514350"/>
                        </a:xfrm>
                        <a:prstGeom prst="bracketPair">
                          <a:avLst>
                            <a:gd name="adj" fmla="val 1458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style="mso-position-vertical-relative:text;z-index:2;mso-wrap-distance-left:9pt;width:156pt;height:40.5pt;mso-position-horizontal-relative:text;position:absolute;margin-left:322.89pt;margin-top:11.2pt;mso-wrap-distance-bottom:0pt;mso-wrap-distance-right:9pt;mso-wrap-distance-top:0pt;" o:spid="_x0000_s1026" o:allowincell="t" o:allowoverlap="t" filled="f" stroked="t" strokecolor="#000000" strokeweight="0.75pt" o:spt="185" type="#_x0000_t185" adj="3150">
                <v:fill/>
                <v:stroke filltype="solid"/>
                <v:textbox style="layout-flow:horizontal;"/>
                <v:imagedata o:title=""/>
                <w10:wrap type="none" anchorx="text" anchory="text"/>
              </v:shape>
            </w:pict>
          </mc:Fallback>
        </mc:AlternateContent>
      </w:r>
    </w:p>
    <w:p>
      <w:pPr>
        <w:pStyle w:val="15"/>
        <w:ind w:firstLine="6600" w:firstLineChars="3000"/>
        <w:rPr>
          <w:rFonts w:hint="default" w:ascii="ＭＳ 明朝" w:hAnsi="ＭＳ 明朝" w:eastAsia="ＭＳ 明朝"/>
          <w:color w:val="auto"/>
          <w:spacing w:val="0"/>
        </w:rPr>
      </w:pPr>
      <w:r>
        <w:rPr>
          <w:rFonts w:hint="eastAsia" w:ascii="ＭＳ 明朝" w:hAnsi="ＭＳ 明朝" w:eastAsia="ＭＳ 明朝"/>
          <w:color w:val="auto"/>
          <w:spacing w:val="0"/>
        </w:rPr>
        <w:t>自　令和　６年</w:t>
      </w:r>
      <w:r>
        <w:rPr>
          <w:rFonts w:hint="eastAsia" w:ascii="ＭＳ 明朝" w:hAnsi="ＭＳ 明朝" w:eastAsia="ＭＳ 明朝"/>
          <w:color w:val="auto"/>
          <w:spacing w:val="0"/>
        </w:rPr>
        <w:t xml:space="preserve"> </w:t>
      </w:r>
      <w:r>
        <w:rPr>
          <w:rFonts w:hint="eastAsia" w:ascii="ＭＳ 明朝" w:hAnsi="ＭＳ 明朝" w:eastAsia="ＭＳ 明朝"/>
          <w:color w:val="auto"/>
          <w:spacing w:val="0"/>
        </w:rPr>
        <w:t>４月　１日</w:t>
      </w:r>
    </w:p>
    <w:p>
      <w:pPr>
        <w:pStyle w:val="15"/>
        <w:rPr>
          <w:rFonts w:hint="default" w:ascii="ＭＳ 明朝" w:hAnsi="ＭＳ 明朝" w:eastAsia="ＭＳ 明朝"/>
          <w:color w:val="auto"/>
          <w:spacing w:val="0"/>
        </w:rPr>
      </w:pPr>
      <w:r>
        <w:rPr>
          <w:rFonts w:hint="default" w:ascii="ＭＳ 明朝" w:hAnsi="ＭＳ 明朝" w:eastAsia="ＭＳ 明朝"/>
          <w:color w:val="auto"/>
          <w:spacing w:val="0"/>
        </w:rPr>
        <w:t xml:space="preserve">                                 </w:t>
      </w:r>
      <w:r>
        <w:rPr>
          <w:rFonts w:hint="eastAsia" w:ascii="ＭＳ 明朝" w:hAnsi="ＭＳ 明朝" w:eastAsia="ＭＳ 明朝"/>
          <w:color w:val="auto"/>
          <w:spacing w:val="0"/>
        </w:rPr>
        <w:t xml:space="preserve">  </w:t>
      </w:r>
      <w:r>
        <w:rPr>
          <w:rFonts w:hint="default" w:ascii="ＭＳ 明朝" w:hAnsi="ＭＳ 明朝" w:eastAsia="ＭＳ 明朝"/>
          <w:color w:val="auto"/>
          <w:spacing w:val="0"/>
        </w:rPr>
        <w:t xml:space="preserve">         </w:t>
      </w:r>
      <w:r>
        <w:rPr>
          <w:rFonts w:hint="eastAsia" w:ascii="ＭＳ 明朝" w:hAnsi="ＭＳ 明朝" w:eastAsia="ＭＳ 明朝"/>
          <w:color w:val="auto"/>
          <w:spacing w:val="0"/>
        </w:rPr>
        <w:t>　　計画期間</w:t>
      </w:r>
    </w:p>
    <w:p>
      <w:pPr>
        <w:pStyle w:val="15"/>
        <w:ind w:firstLine="6600" w:firstLineChars="3000"/>
        <w:rPr>
          <w:rFonts w:hint="default" w:ascii="ＭＳ 明朝" w:hAnsi="ＭＳ 明朝" w:eastAsia="ＭＳ 明朝"/>
          <w:color w:val="auto"/>
          <w:spacing w:val="0"/>
        </w:rPr>
      </w:pPr>
      <w:r>
        <w:rPr>
          <w:rFonts w:hint="eastAsia" w:ascii="ＭＳ 明朝" w:hAnsi="ＭＳ 明朝" w:eastAsia="ＭＳ 明朝"/>
          <w:color w:val="auto"/>
          <w:spacing w:val="0"/>
        </w:rPr>
        <w:t>至　令和１６年</w:t>
      </w:r>
      <w:r>
        <w:rPr>
          <w:rFonts w:hint="eastAsia" w:ascii="ＭＳ 明朝" w:hAnsi="ＭＳ 明朝" w:eastAsia="ＭＳ 明朝"/>
          <w:color w:val="auto"/>
          <w:spacing w:val="0"/>
        </w:rPr>
        <w:t xml:space="preserve"> </w:t>
      </w:r>
      <w:r>
        <w:rPr>
          <w:rFonts w:hint="eastAsia" w:ascii="ＭＳ 明朝" w:hAnsi="ＭＳ 明朝" w:eastAsia="ＭＳ 明朝"/>
          <w:color w:val="auto"/>
          <w:spacing w:val="0"/>
        </w:rPr>
        <w:t>３月３１日</w:t>
      </w: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spacing w:line="484" w:lineRule="exact"/>
        <w:jc w:val="center"/>
        <w:rPr>
          <w:rFonts w:hint="default" w:ascii="ＭＳ 明朝" w:hAnsi="ＭＳ 明朝" w:eastAsia="ＭＳ 明朝"/>
          <w:color w:val="auto"/>
          <w:spacing w:val="0"/>
        </w:rPr>
      </w:pPr>
      <w:r>
        <w:rPr>
          <w:rFonts w:hint="eastAsia" w:ascii="ＭＳ 明朝" w:hAnsi="ＭＳ 明朝" w:eastAsia="ＭＳ 明朝"/>
          <w:b w:val="1"/>
          <w:color w:val="auto"/>
          <w:sz w:val="44"/>
        </w:rPr>
        <w:t>北　海　道</w:t>
      </w:r>
    </w:p>
    <w:p>
      <w:pPr>
        <w:pStyle w:val="15"/>
        <w:spacing w:line="484" w:lineRule="exact"/>
        <w:jc w:val="center"/>
        <w:rPr>
          <w:rFonts w:hint="default" w:ascii="ＭＳ 明朝" w:hAnsi="ＭＳ 明朝" w:eastAsia="ＭＳ 明朝"/>
          <w:color w:val="auto"/>
          <w:spacing w:val="0"/>
        </w:rPr>
      </w:pPr>
      <w:r>
        <w:rPr>
          <w:rFonts w:hint="eastAsia" w:ascii="ＭＳ 明朝" w:hAnsi="ＭＳ 明朝" w:eastAsia="ＭＳ 明朝"/>
          <w:b w:val="1"/>
          <w:color w:val="auto"/>
          <w:sz w:val="44"/>
        </w:rPr>
        <w:t>更　別　村</w:t>
      </w:r>
    </w:p>
    <w:p>
      <w:pPr>
        <w:pStyle w:val="15"/>
        <w:spacing w:line="308" w:lineRule="exact"/>
        <w:rPr>
          <w:rFonts w:hint="default" w:ascii="ＭＳ 明朝" w:hAnsi="ＭＳ 明朝" w:eastAsia="ＭＳ 明朝"/>
          <w:color w:val="auto"/>
          <w:spacing w:val="0"/>
        </w:rPr>
      </w:pPr>
      <w:r>
        <w:rPr>
          <w:rFonts w:hint="default" w:ascii="ＭＳ 明朝" w:hAnsi="ＭＳ 明朝" w:eastAsia="ＭＳ 明朝"/>
          <w:color w:val="auto"/>
          <w:spacing w:val="0"/>
        </w:rPr>
        <w:br w:type="page"/>
      </w:r>
    </w:p>
    <w:p>
      <w:pPr>
        <w:pStyle w:val="15"/>
        <w:spacing w:line="308" w:lineRule="exact"/>
        <w:jc w:val="left"/>
        <w:rPr>
          <w:rFonts w:hint="default" w:ascii="ＭＳ 明朝" w:hAnsi="ＭＳ 明朝" w:eastAsia="ＭＳ 明朝"/>
          <w:color w:val="auto"/>
          <w:spacing w:val="0"/>
        </w:rPr>
      </w:pPr>
    </w:p>
    <w:tbl>
      <w:tblPr>
        <w:tblStyle w:val="11"/>
        <w:tblW w:w="9571"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2"/>
        <w:gridCol w:w="7619"/>
      </w:tblGrid>
      <w:tr>
        <w:trPr>
          <w:trHeight w:val="446" w:hRule="atLeast"/>
        </w:trPr>
        <w:tc>
          <w:tcPr>
            <w:tcW w:w="1952" w:type="dxa"/>
            <w:shd w:val="clear" w:color="auto" w:fill="auto"/>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105"/>
                <w:fitText w:val="1470" w:id="1"/>
              </w:rPr>
              <w:t>変更</w:t>
            </w:r>
            <w:r>
              <w:rPr>
                <w:rFonts w:hint="eastAsia" w:asciiTheme="minorEastAsia" w:hAnsiTheme="minorEastAsia" w:eastAsiaTheme="minorEastAsia"/>
                <w:color w:val="000000" w:themeColor="text1"/>
                <w:spacing w:val="105"/>
                <w:kern w:val="0"/>
                <w:fitText w:val="1470" w:id="1"/>
              </w:rPr>
              <w:t>理</w:t>
            </w:r>
            <w:r>
              <w:rPr>
                <w:rFonts w:hint="eastAsia" w:asciiTheme="minorEastAsia" w:hAnsiTheme="minorEastAsia" w:eastAsiaTheme="minorEastAsia"/>
                <w:color w:val="000000" w:themeColor="text1"/>
                <w:kern w:val="0"/>
                <w:fitText w:val="1470" w:id="1"/>
              </w:rPr>
              <w:t>由</w:t>
            </w:r>
          </w:p>
        </w:tc>
        <w:tc>
          <w:tcPr>
            <w:tcW w:w="7619" w:type="dxa"/>
            <w:shd w:val="clear" w:color="auto" w:fill="auto"/>
            <w:vAlign w:val="center"/>
          </w:tcPr>
          <w:p>
            <w:pPr>
              <w:pStyle w:val="0"/>
              <w:ind w:firstLine="21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地域森林計画に適合させるための変更</w:t>
            </w:r>
          </w:p>
        </w:tc>
      </w:tr>
      <w:tr>
        <w:trPr/>
        <w:tc>
          <w:tcPr>
            <w:tcW w:w="1952" w:type="dxa"/>
            <w:shd w:val="clear" w:color="auto" w:fill="auto"/>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105"/>
                <w:fitText w:val="1470" w:id="2"/>
              </w:rPr>
              <w:t>変更</w:t>
            </w:r>
            <w:r>
              <w:rPr>
                <w:rFonts w:hint="eastAsia" w:asciiTheme="minorEastAsia" w:hAnsiTheme="minorEastAsia" w:eastAsiaTheme="minorEastAsia"/>
                <w:color w:val="000000" w:themeColor="text1"/>
                <w:spacing w:val="105"/>
                <w:kern w:val="0"/>
                <w:fitText w:val="1470" w:id="2"/>
              </w:rPr>
              <w:t>内</w:t>
            </w:r>
            <w:r>
              <w:rPr>
                <w:rFonts w:hint="eastAsia" w:asciiTheme="minorEastAsia" w:hAnsiTheme="minorEastAsia" w:eastAsiaTheme="minorEastAsia"/>
                <w:color w:val="000000" w:themeColor="text1"/>
                <w:kern w:val="0"/>
                <w:fitText w:val="1470" w:id="2"/>
              </w:rPr>
              <w:t>容</w:t>
            </w:r>
          </w:p>
        </w:tc>
        <w:tc>
          <w:tcPr>
            <w:tcW w:w="7619" w:type="dxa"/>
            <w:shd w:val="clear" w:color="auto" w:fill="auto"/>
            <w:vAlign w:val="top"/>
          </w:tcPr>
          <w:p>
            <w:pPr>
              <w:pStyle w:val="0"/>
              <w:ind w:firstLine="21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水源かん養保安林の誤記修正</w:t>
            </w:r>
          </w:p>
          <w:p>
            <w:pPr>
              <w:pStyle w:val="0"/>
              <w:ind w:firstLine="21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チェーンソーの表記の統一</w:t>
            </w:r>
          </w:p>
        </w:tc>
      </w:tr>
      <w:tr>
        <w:trPr/>
        <w:tc>
          <w:tcPr>
            <w:tcW w:w="1952" w:type="dxa"/>
            <w:shd w:val="clear" w:color="auto" w:fill="auto"/>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変更計画が有効</w:t>
            </w: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spacing w:val="21"/>
                <w:kern w:val="0"/>
                <w:fitText w:val="1470" w:id="3"/>
              </w:rPr>
              <w:t>となる年月</w:t>
            </w:r>
            <w:r>
              <w:rPr>
                <w:rFonts w:hint="eastAsia" w:asciiTheme="minorEastAsia" w:hAnsiTheme="minorEastAsia" w:eastAsiaTheme="minorEastAsia"/>
                <w:color w:val="000000" w:themeColor="text1"/>
                <w:kern w:val="0"/>
                <w:fitText w:val="1470" w:id="3"/>
              </w:rPr>
              <w:t>日</w:t>
            </w:r>
          </w:p>
        </w:tc>
        <w:tc>
          <w:tcPr>
            <w:tcW w:w="7619" w:type="dxa"/>
            <w:shd w:val="clear" w:color="auto" w:fill="auto"/>
            <w:vAlign w:val="center"/>
          </w:tcPr>
          <w:p>
            <w:pPr>
              <w:pStyle w:val="0"/>
              <w:ind w:firstLine="210" w:firstLine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令和８年</w:t>
            </w:r>
            <w:r>
              <w:rPr>
                <w:rFonts w:hint="eastAsia" w:asciiTheme="minorEastAsia" w:hAnsiTheme="minorEastAsia" w:eastAsiaTheme="minorEastAsia"/>
                <w:color w:val="000000" w:themeColor="text1"/>
              </w:rPr>
              <w:t>4</w:t>
            </w:r>
            <w:r>
              <w:rPr>
                <w:rFonts w:hint="eastAsia" w:asciiTheme="minorEastAsia" w:hAnsiTheme="minorEastAsia" w:eastAsiaTheme="minorEastAsia"/>
                <w:color w:val="000000" w:themeColor="text1"/>
              </w:rPr>
              <w:t>月</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日から適用</w:t>
            </w:r>
          </w:p>
        </w:tc>
      </w:tr>
    </w:tbl>
    <w:p>
      <w:pPr>
        <w:pStyle w:val="15"/>
        <w:spacing w:line="308" w:lineRule="exact"/>
        <w:jc w:val="left"/>
        <w:rPr>
          <w:rFonts w:hint="default" w:ascii="ＭＳ 明朝" w:hAnsi="ＭＳ 明朝" w:eastAsia="ＭＳ 明朝"/>
          <w:color w:val="auto"/>
          <w:spacing w:val="0"/>
        </w:rPr>
      </w:pPr>
    </w:p>
    <w:p>
      <w:pPr>
        <w:pStyle w:val="15"/>
        <w:spacing w:line="308" w:lineRule="exact"/>
        <w:jc w:val="left"/>
        <w:rPr>
          <w:rFonts w:hint="default" w:ascii="ＭＳ 明朝" w:hAnsi="ＭＳ 明朝" w:eastAsia="ＭＳ 明朝"/>
          <w:color w:val="auto"/>
          <w:spacing w:val="0"/>
        </w:rPr>
      </w:pPr>
    </w:p>
    <w:p>
      <w:pPr>
        <w:pStyle w:val="15"/>
        <w:spacing w:line="308" w:lineRule="exact"/>
        <w:jc w:val="left"/>
        <w:rPr>
          <w:rFonts w:hint="default" w:ascii="ＭＳ 明朝" w:hAnsi="ＭＳ 明朝" w:eastAsia="ＭＳ 明朝"/>
          <w:color w:val="auto"/>
          <w:spacing w:val="0"/>
        </w:rPr>
      </w:pPr>
    </w:p>
    <w:p>
      <w:pPr>
        <w:pStyle w:val="15"/>
        <w:spacing w:line="308" w:lineRule="exact"/>
        <w:jc w:val="left"/>
        <w:rPr>
          <w:rFonts w:hint="default" w:ascii="ＭＳ 明朝" w:hAnsi="ＭＳ 明朝" w:eastAsia="ＭＳ 明朝"/>
          <w:color w:val="auto"/>
          <w:spacing w:val="0"/>
        </w:rPr>
      </w:pPr>
      <w:r>
        <w:rPr>
          <w:rFonts w:hint="default" w:ascii="ＭＳ 明朝" w:hAnsi="ＭＳ 明朝" w:eastAsia="ＭＳ 明朝"/>
          <w:color w:val="auto"/>
          <w:spacing w:val="0"/>
        </w:rPr>
        <w:br w:type="page"/>
      </w:r>
    </w:p>
    <w:p>
      <w:pPr>
        <w:pStyle w:val="15"/>
        <w:spacing w:line="308" w:lineRule="exact"/>
        <w:jc w:val="center"/>
        <w:rPr>
          <w:rFonts w:hint="default" w:ascii="ＭＳ 明朝" w:hAnsi="ＭＳ 明朝" w:eastAsia="ＭＳ 明朝"/>
          <w:color w:val="auto"/>
          <w:spacing w:val="0"/>
        </w:rPr>
      </w:pPr>
      <w:r>
        <w:rPr>
          <w:rFonts w:hint="eastAsia" w:ascii="ＭＳ 明朝" w:hAnsi="ＭＳ 明朝" w:eastAsia="ＭＳ 明朝"/>
          <w:color w:val="auto"/>
          <w:sz w:val="28"/>
        </w:rPr>
        <w:t>目　　　　　　　　次</w:t>
      </w:r>
    </w:p>
    <w:p>
      <w:pPr>
        <w:pStyle w:val="15"/>
        <w:rPr>
          <w:rFonts w:hint="default" w:ascii="ＭＳ 明朝" w:hAnsi="ＭＳ 明朝" w:eastAsia="ＭＳ 明朝"/>
          <w:color w:val="auto"/>
          <w:spacing w:val="0"/>
          <w:sz w:val="18"/>
        </w:rPr>
      </w:pPr>
    </w:p>
    <w:p>
      <w:pPr>
        <w:pStyle w:val="15"/>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Ⅰ　伐採・造林・間伐・保育その他森林の整備に関する基本的な事項　　　　・・・・・・・・・・・・・・・・・・・・１</w:t>
      </w:r>
    </w:p>
    <w:p>
      <w:pPr>
        <w:pStyle w:val="15"/>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第１　伐採、造林、保育その他森林の整備及び保全に関する基本的な事項　　　　・・・・・・・・・・・・・・・・・・１</w:t>
      </w:r>
    </w:p>
    <w:p>
      <w:pPr>
        <w:pStyle w:val="15"/>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　１　森林整備の現状と課題　　　　・・・・・・・・・・・・・・・・・・・・・・・・・・・・・・・・・・・・・・１</w:t>
      </w:r>
    </w:p>
    <w:p>
      <w:pPr>
        <w:pStyle w:val="0"/>
        <w:rPr>
          <w:rFonts w:hint="default" w:ascii="ＭＳ 明朝" w:hAnsi="ＭＳ 明朝"/>
          <w:color w:val="auto"/>
          <w:sz w:val="18"/>
        </w:rPr>
      </w:pPr>
      <w:r>
        <w:rPr>
          <w:rFonts w:hint="eastAsia" w:ascii="ＭＳ 明朝" w:hAnsi="ＭＳ 明朝"/>
          <w:color w:val="auto"/>
          <w:sz w:val="18"/>
        </w:rPr>
        <w:t>　２　森林整備の基本方針　　　　・・・・・・・・・・・・・・・・・・・・・・・・・・・・・・・・・・・・・・・１</w:t>
      </w:r>
    </w:p>
    <w:p>
      <w:pPr>
        <w:pStyle w:val="15"/>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　３　森林施業の合理化に関する基本方針　　　　・・・・・・・・・・・・・・・・・・・・・・・・・・・・・・・・４</w:t>
      </w:r>
    </w:p>
    <w:p>
      <w:pPr>
        <w:pStyle w:val="15"/>
        <w:rPr>
          <w:rFonts w:hint="default" w:ascii="ＭＳ 明朝" w:hAnsi="ＭＳ 明朝" w:eastAsia="ＭＳ 明朝"/>
          <w:color w:val="auto"/>
          <w:spacing w:val="0"/>
          <w:kern w:val="2"/>
          <w:sz w:val="18"/>
        </w:rPr>
      </w:pPr>
    </w:p>
    <w:p>
      <w:pPr>
        <w:pStyle w:val="0"/>
        <w:rPr>
          <w:rFonts w:hint="default" w:ascii="ＭＳ 明朝" w:hAnsi="ＭＳ 明朝"/>
          <w:color w:val="auto"/>
          <w:sz w:val="18"/>
        </w:rPr>
      </w:pPr>
      <w:r>
        <w:rPr>
          <w:rFonts w:hint="eastAsia" w:ascii="ＭＳ 明朝" w:hAnsi="ＭＳ 明朝"/>
          <w:color w:val="auto"/>
          <w:sz w:val="18"/>
        </w:rPr>
        <w:t>Ⅱ　森林整備の方法に関する事項　　　　・・・・・・・・・・・・・・・・・・・・・・・・・・・・・・・・・・・・４</w:t>
      </w:r>
    </w:p>
    <w:p>
      <w:pPr>
        <w:pStyle w:val="0"/>
        <w:rPr>
          <w:rFonts w:hint="default" w:ascii="ＭＳ 明朝" w:hAnsi="ＭＳ 明朝"/>
          <w:color w:val="auto"/>
          <w:sz w:val="18"/>
        </w:rPr>
      </w:pPr>
      <w:r>
        <w:rPr>
          <w:rFonts w:hint="eastAsia" w:ascii="ＭＳ 明朝" w:hAnsi="ＭＳ 明朝"/>
          <w:color w:val="auto"/>
          <w:sz w:val="18"/>
        </w:rPr>
        <w:t>第１　森林の立木竹の伐採に関する事項（間伐に関する事項を除く）　　　　・・・・・・・・・・・・・・・・・・・・４</w:t>
      </w:r>
    </w:p>
    <w:p>
      <w:pPr>
        <w:pStyle w:val="0"/>
        <w:rPr>
          <w:rFonts w:hint="default" w:ascii="ＭＳ 明朝" w:hAnsi="ＭＳ 明朝"/>
          <w:color w:val="auto"/>
          <w:sz w:val="18"/>
        </w:rPr>
      </w:pPr>
      <w:r>
        <w:rPr>
          <w:rFonts w:hint="eastAsia" w:ascii="ＭＳ 明朝" w:hAnsi="ＭＳ 明朝"/>
          <w:color w:val="auto"/>
          <w:sz w:val="18"/>
        </w:rPr>
        <w:t>　１　立木の伐採（主伐）の標準的な方法　　　　・・・・・・・・・・・・・・・・・・・・・・・・・・・・・・・・４</w:t>
      </w:r>
    </w:p>
    <w:p>
      <w:pPr>
        <w:pStyle w:val="0"/>
        <w:ind w:firstLine="180" w:firstLineChars="100"/>
        <w:rPr>
          <w:rFonts w:hint="default" w:ascii="ＭＳ 明朝" w:hAnsi="ＭＳ 明朝"/>
          <w:color w:val="auto"/>
          <w:sz w:val="18"/>
        </w:rPr>
      </w:pPr>
      <w:r>
        <w:rPr>
          <w:rFonts w:hint="eastAsia" w:ascii="ＭＳ 明朝" w:hAnsi="ＭＳ 明朝"/>
          <w:color w:val="auto"/>
          <w:sz w:val="18"/>
        </w:rPr>
        <w:t>２　樹種別の立木の標準伐期齢　　　　・・・・・・・・・・・・・・・・・・・・・・・・・・・・・・・・・・・・５</w:t>
      </w:r>
    </w:p>
    <w:p>
      <w:pPr>
        <w:pStyle w:val="0"/>
        <w:ind w:firstLine="180" w:firstLineChars="100"/>
        <w:rPr>
          <w:rFonts w:hint="default" w:ascii="ＭＳ 明朝" w:hAnsi="ＭＳ 明朝"/>
          <w:color w:val="auto"/>
          <w:sz w:val="18"/>
        </w:rPr>
      </w:pPr>
      <w:r>
        <w:rPr>
          <w:rFonts w:hint="eastAsia" w:ascii="ＭＳ 明朝" w:hAnsi="ＭＳ 明朝"/>
          <w:color w:val="auto"/>
          <w:sz w:val="18"/>
        </w:rPr>
        <w:t>３　その他必要な事項　　　　・・・・・・・・・・・・・・・・・・・・・・・・・・・・・・・・・・・・・・・・５</w:t>
      </w:r>
    </w:p>
    <w:p>
      <w:pPr>
        <w:pStyle w:val="15"/>
        <w:rPr>
          <w:rFonts w:hint="default" w:ascii="ＭＳ 明朝" w:hAnsi="ＭＳ 明朝" w:eastAsia="ＭＳ 明朝"/>
          <w:color w:val="auto"/>
          <w:spacing w:val="0"/>
          <w:kern w:val="2"/>
          <w:sz w:val="18"/>
        </w:rPr>
      </w:pPr>
    </w:p>
    <w:p>
      <w:pPr>
        <w:pStyle w:val="0"/>
        <w:rPr>
          <w:rFonts w:hint="default" w:ascii="ＭＳ 明朝" w:hAnsi="ＭＳ 明朝"/>
          <w:color w:val="auto"/>
          <w:sz w:val="18"/>
        </w:rPr>
      </w:pPr>
      <w:r>
        <w:rPr>
          <w:rFonts w:hint="eastAsia" w:ascii="ＭＳ 明朝" w:hAnsi="ＭＳ 明朝"/>
          <w:color w:val="auto"/>
          <w:sz w:val="18"/>
        </w:rPr>
        <w:t>第２　造林に関する事項　　　　・・・・・・・・・・・・・・・・・・・・・・・・・・・・・・・・・・・・・・・・６</w:t>
      </w:r>
    </w:p>
    <w:p>
      <w:pPr>
        <w:pStyle w:val="0"/>
        <w:ind w:firstLine="180" w:firstLineChars="100"/>
        <w:rPr>
          <w:rFonts w:hint="default" w:ascii="ＭＳ 明朝" w:hAnsi="ＭＳ 明朝"/>
          <w:color w:val="auto"/>
          <w:sz w:val="18"/>
        </w:rPr>
      </w:pPr>
      <w:r>
        <w:rPr>
          <w:rFonts w:hint="eastAsia" w:ascii="ＭＳ 明朝" w:hAnsi="ＭＳ 明朝"/>
          <w:color w:val="auto"/>
          <w:sz w:val="18"/>
        </w:rPr>
        <w:t>１　人工造林に関する事項　　　　・・・・・・・・・・・・・・・・・・・・・・・・・・・・・・・・・・・・・・６</w:t>
      </w:r>
    </w:p>
    <w:p>
      <w:pPr>
        <w:pStyle w:val="0"/>
        <w:ind w:firstLine="180" w:firstLineChars="100"/>
        <w:rPr>
          <w:rFonts w:hint="default" w:ascii="ＭＳ 明朝" w:hAnsi="ＭＳ 明朝"/>
          <w:color w:val="auto"/>
          <w:sz w:val="18"/>
        </w:rPr>
      </w:pPr>
      <w:r>
        <w:rPr>
          <w:rFonts w:hint="eastAsia" w:ascii="ＭＳ 明朝" w:hAnsi="ＭＳ 明朝"/>
          <w:color w:val="auto"/>
          <w:sz w:val="18"/>
        </w:rPr>
        <w:t>２　天然更新に関する事項　　　　・・・・・・・・・・・・・・・・・・・・・・・・・・・・・・・・・・・・・・８</w:t>
      </w:r>
    </w:p>
    <w:p>
      <w:pPr>
        <w:pStyle w:val="0"/>
        <w:ind w:firstLine="180" w:firstLineChars="100"/>
        <w:rPr>
          <w:rFonts w:hint="default" w:ascii="ＭＳ 明朝" w:hAnsi="ＭＳ 明朝"/>
          <w:color w:val="auto"/>
          <w:sz w:val="18"/>
        </w:rPr>
      </w:pPr>
      <w:r>
        <w:rPr>
          <w:rFonts w:hint="eastAsia" w:ascii="ＭＳ 明朝" w:hAnsi="ＭＳ 明朝"/>
          <w:color w:val="auto"/>
          <w:sz w:val="18"/>
        </w:rPr>
        <w:t>３　植栽によらなければ適確な更新が困難な森林に関する事項　　　　・・・・・・・・・・・・・・・・・・・・・・９</w:t>
      </w:r>
    </w:p>
    <w:p>
      <w:pPr>
        <w:pStyle w:val="0"/>
        <w:ind w:firstLine="180" w:firstLineChars="100"/>
        <w:rPr>
          <w:rFonts w:hint="default" w:ascii="ＭＳ 明朝" w:hAnsi="ＭＳ 明朝"/>
          <w:color w:val="auto"/>
          <w:sz w:val="18"/>
        </w:rPr>
      </w:pPr>
      <w:r>
        <w:rPr>
          <w:rFonts w:hint="eastAsia" w:ascii="ＭＳ 明朝" w:hAnsi="ＭＳ 明朝"/>
          <w:color w:val="auto"/>
          <w:sz w:val="18"/>
        </w:rPr>
        <w:t>４　森林法第１０条の９第４項の伐採中止又は造林の命令の基準　　　　・・・・・・・・・・・・・・・・・・・・・９</w:t>
      </w:r>
    </w:p>
    <w:p>
      <w:pPr>
        <w:pStyle w:val="0"/>
        <w:ind w:firstLine="180" w:firstLineChars="100"/>
        <w:rPr>
          <w:rFonts w:hint="default" w:ascii="ＭＳ 明朝" w:hAnsi="ＭＳ 明朝"/>
          <w:color w:val="auto"/>
          <w:sz w:val="18"/>
        </w:rPr>
      </w:pPr>
      <w:r>
        <w:rPr>
          <w:rFonts w:hint="eastAsia" w:ascii="ＭＳ 明朝" w:hAnsi="ＭＳ 明朝"/>
          <w:color w:val="auto"/>
          <w:sz w:val="18"/>
        </w:rPr>
        <w:t>５　その他必要な事項　　　　・・・・・・・・・・・・・・・・・・・・・・・・・・・・・・・・・・・・・・・・</w:t>
      </w:r>
      <w:r>
        <w:rPr>
          <w:rFonts w:hint="eastAsia" w:ascii="ＭＳ 明朝" w:hAnsi="ＭＳ 明朝"/>
          <w:color w:val="auto"/>
          <w:sz w:val="18"/>
        </w:rPr>
        <w:t>1</w:t>
      </w:r>
      <w:r>
        <w:rPr>
          <w:rFonts w:hint="default" w:ascii="ＭＳ 明朝" w:hAnsi="ＭＳ 明朝"/>
          <w:color w:val="auto"/>
          <w:sz w:val="18"/>
        </w:rPr>
        <w:t>0</w:t>
      </w:r>
    </w:p>
    <w:p>
      <w:pPr>
        <w:pStyle w:val="15"/>
        <w:rPr>
          <w:rFonts w:hint="default" w:ascii="ＭＳ 明朝" w:hAnsi="ＭＳ 明朝" w:eastAsia="ＭＳ 明朝"/>
          <w:color w:val="auto"/>
          <w:spacing w:val="0"/>
          <w:kern w:val="2"/>
          <w:sz w:val="18"/>
        </w:rPr>
      </w:pPr>
    </w:p>
    <w:p>
      <w:pPr>
        <w:pStyle w:val="0"/>
        <w:rPr>
          <w:rFonts w:hint="default" w:ascii="ＭＳ 明朝" w:hAnsi="ＭＳ 明朝"/>
          <w:color w:val="auto"/>
          <w:sz w:val="18"/>
        </w:rPr>
      </w:pPr>
      <w:r>
        <w:rPr>
          <w:rFonts w:hint="eastAsia" w:ascii="ＭＳ 明朝" w:hAnsi="ＭＳ 明朝"/>
          <w:color w:val="auto"/>
          <w:sz w:val="18"/>
        </w:rPr>
        <w:t>第３　間伐を実施すべき標準的な林齢、間伐及び保育の標準的な方法その他間伐及び保育の基準　　　　・・・・・・・・</w:t>
      </w:r>
      <w:r>
        <w:rPr>
          <w:rFonts w:hint="eastAsia" w:ascii="ＭＳ 明朝" w:hAnsi="ＭＳ 明朝"/>
          <w:color w:val="auto"/>
          <w:sz w:val="18"/>
        </w:rPr>
        <w:t>10</w:t>
      </w:r>
    </w:p>
    <w:p>
      <w:pPr>
        <w:pStyle w:val="0"/>
        <w:ind w:firstLine="180" w:firstLineChars="100"/>
        <w:rPr>
          <w:rFonts w:hint="default" w:ascii="ＭＳ 明朝" w:hAnsi="ＭＳ 明朝"/>
          <w:color w:val="auto"/>
          <w:sz w:val="18"/>
        </w:rPr>
      </w:pPr>
      <w:r>
        <w:rPr>
          <w:rFonts w:hint="eastAsia" w:ascii="ＭＳ 明朝" w:hAnsi="ＭＳ 明朝"/>
          <w:color w:val="auto"/>
          <w:sz w:val="18"/>
        </w:rPr>
        <w:t>１　間伐を実施すべき標準的な林齢及び間伐の標準的な方法　　　　・・・・・・・・・・・・・・・・・・・・・・・</w:t>
      </w:r>
      <w:r>
        <w:rPr>
          <w:rFonts w:hint="eastAsia" w:ascii="ＭＳ 明朝" w:hAnsi="ＭＳ 明朝"/>
          <w:color w:val="auto"/>
          <w:sz w:val="18"/>
        </w:rPr>
        <w:t>10</w:t>
      </w:r>
    </w:p>
    <w:p>
      <w:pPr>
        <w:pStyle w:val="0"/>
        <w:ind w:firstLine="180" w:firstLineChars="100"/>
        <w:rPr>
          <w:rFonts w:hint="default" w:ascii="ＭＳ 明朝" w:hAnsi="ＭＳ 明朝"/>
          <w:color w:val="auto"/>
          <w:sz w:val="18"/>
        </w:rPr>
      </w:pPr>
      <w:r>
        <w:rPr>
          <w:rFonts w:hint="eastAsia" w:ascii="ＭＳ 明朝" w:hAnsi="ＭＳ 明朝"/>
          <w:color w:val="auto"/>
          <w:sz w:val="18"/>
        </w:rPr>
        <w:t>２　保育の作業種別の標準的な方法　　　　・・・・・・・・・・・・・・・・・・・・・・・・・・・・・・・・・・</w:t>
      </w:r>
      <w:r>
        <w:rPr>
          <w:rFonts w:hint="eastAsia" w:ascii="ＭＳ 明朝" w:hAnsi="ＭＳ 明朝"/>
          <w:color w:val="auto"/>
          <w:sz w:val="18"/>
        </w:rPr>
        <w:t>10</w:t>
      </w:r>
    </w:p>
    <w:p>
      <w:pPr>
        <w:pStyle w:val="0"/>
        <w:ind w:firstLine="180" w:firstLineChars="100"/>
        <w:rPr>
          <w:rFonts w:hint="default" w:ascii="ＭＳ 明朝" w:hAnsi="ＭＳ 明朝"/>
          <w:color w:val="auto"/>
          <w:sz w:val="18"/>
        </w:rPr>
      </w:pPr>
      <w:r>
        <w:rPr>
          <w:rFonts w:hint="eastAsia" w:ascii="ＭＳ 明朝" w:hAnsi="ＭＳ 明朝"/>
          <w:color w:val="auto"/>
          <w:sz w:val="18"/>
        </w:rPr>
        <w:t>３　その他間伐及び保育の基準　　　　・・・・・・・・・・・・・・・・・・・・・・・・・・・・・・・・・・・・</w:t>
      </w:r>
      <w:r>
        <w:rPr>
          <w:rFonts w:hint="default" w:ascii="ＭＳ 明朝" w:hAnsi="ＭＳ 明朝"/>
          <w:color w:val="auto"/>
          <w:sz w:val="18"/>
        </w:rPr>
        <w:t>1</w:t>
      </w:r>
      <w:r>
        <w:rPr>
          <w:rFonts w:hint="eastAsia" w:ascii="ＭＳ 明朝" w:hAnsi="ＭＳ 明朝"/>
          <w:color w:val="auto"/>
          <w:sz w:val="18"/>
        </w:rPr>
        <w:t>1</w:t>
      </w:r>
    </w:p>
    <w:p>
      <w:pPr>
        <w:pStyle w:val="0"/>
        <w:ind w:firstLine="180" w:firstLineChars="100"/>
        <w:rPr>
          <w:rFonts w:hint="default" w:ascii="ＭＳ 明朝" w:hAnsi="ＭＳ 明朝"/>
          <w:color w:val="auto"/>
          <w:sz w:val="18"/>
        </w:rPr>
      </w:pPr>
      <w:r>
        <w:rPr>
          <w:rFonts w:hint="eastAsia" w:ascii="ＭＳ 明朝" w:hAnsi="ＭＳ 明朝"/>
          <w:color w:val="auto"/>
          <w:sz w:val="18"/>
        </w:rPr>
        <w:t>４　その他必要な事項　　　　・・・・・・・・・・・・・・・・・・・・・・・・・・・・・・・・・・・・・・・・</w:t>
      </w:r>
      <w:r>
        <w:rPr>
          <w:rFonts w:hint="default" w:ascii="ＭＳ 明朝" w:hAnsi="ＭＳ 明朝"/>
          <w:color w:val="auto"/>
          <w:sz w:val="18"/>
        </w:rPr>
        <w:t>1</w:t>
      </w:r>
      <w:r>
        <w:rPr>
          <w:rFonts w:hint="eastAsia" w:ascii="ＭＳ 明朝" w:hAnsi="ＭＳ 明朝"/>
          <w:color w:val="auto"/>
          <w:sz w:val="18"/>
        </w:rPr>
        <w:t>1</w:t>
      </w:r>
    </w:p>
    <w:p>
      <w:pPr>
        <w:pStyle w:val="15"/>
        <w:rPr>
          <w:rFonts w:hint="default" w:ascii="ＭＳ 明朝" w:hAnsi="ＭＳ 明朝" w:eastAsia="ＭＳ 明朝"/>
          <w:color w:val="auto"/>
          <w:spacing w:val="0"/>
          <w:kern w:val="2"/>
          <w:sz w:val="18"/>
        </w:rPr>
      </w:pPr>
    </w:p>
    <w:p>
      <w:pPr>
        <w:pStyle w:val="0"/>
        <w:rPr>
          <w:rFonts w:hint="default" w:ascii="ＭＳ 明朝" w:hAnsi="ＭＳ 明朝"/>
          <w:color w:val="auto"/>
          <w:sz w:val="18"/>
        </w:rPr>
      </w:pPr>
      <w:r>
        <w:rPr>
          <w:rFonts w:hint="eastAsia" w:ascii="ＭＳ 明朝" w:hAnsi="ＭＳ 明朝"/>
          <w:color w:val="auto"/>
          <w:sz w:val="18"/>
        </w:rPr>
        <w:t>第４　公益的機能別施業森林の整備等の森林の整備に関する事項　　　　・・・・・・・・・・・・・・・・・・・・・・</w:t>
      </w:r>
      <w:r>
        <w:rPr>
          <w:rFonts w:hint="default" w:ascii="ＭＳ 明朝" w:hAnsi="ＭＳ 明朝"/>
          <w:color w:val="auto"/>
          <w:sz w:val="18"/>
        </w:rPr>
        <w:t>1</w:t>
      </w:r>
      <w:r>
        <w:rPr>
          <w:rFonts w:hint="eastAsia" w:ascii="ＭＳ 明朝" w:hAnsi="ＭＳ 明朝"/>
          <w:color w:val="auto"/>
          <w:sz w:val="18"/>
        </w:rPr>
        <w:t>1</w:t>
      </w:r>
    </w:p>
    <w:p>
      <w:pPr>
        <w:pStyle w:val="0"/>
        <w:ind w:firstLine="180" w:firstLineChars="100"/>
        <w:rPr>
          <w:rFonts w:hint="default" w:ascii="ＭＳ 明朝" w:hAnsi="ＭＳ 明朝"/>
          <w:color w:val="auto"/>
          <w:sz w:val="18"/>
        </w:rPr>
      </w:pPr>
      <w:r>
        <w:rPr>
          <w:rFonts w:hint="eastAsia" w:ascii="ＭＳ 明朝" w:hAnsi="ＭＳ 明朝"/>
          <w:color w:val="auto"/>
          <w:sz w:val="18"/>
        </w:rPr>
        <w:t>１　公益的機能別施業森林の区域及び当該区域における森林施業の方法　　　　・・・・・・・・・・・・・・・・・・</w:t>
      </w:r>
      <w:r>
        <w:rPr>
          <w:rFonts w:hint="default" w:ascii="ＭＳ 明朝" w:hAnsi="ＭＳ 明朝"/>
          <w:color w:val="auto"/>
          <w:sz w:val="18"/>
        </w:rPr>
        <w:t>1</w:t>
      </w:r>
      <w:r>
        <w:rPr>
          <w:rFonts w:hint="eastAsia" w:ascii="ＭＳ 明朝" w:hAnsi="ＭＳ 明朝"/>
          <w:color w:val="auto"/>
          <w:sz w:val="18"/>
        </w:rPr>
        <w:t>1</w:t>
      </w:r>
    </w:p>
    <w:p>
      <w:pPr>
        <w:pStyle w:val="0"/>
        <w:ind w:firstLine="180" w:firstLineChars="100"/>
        <w:rPr>
          <w:rFonts w:hint="default" w:ascii="ＭＳ 明朝" w:hAnsi="ＭＳ 明朝"/>
          <w:color w:val="auto"/>
          <w:sz w:val="18"/>
        </w:rPr>
      </w:pPr>
      <w:r>
        <w:rPr>
          <w:rFonts w:hint="eastAsia" w:ascii="ＭＳ 明朝" w:hAnsi="ＭＳ 明朝"/>
          <w:color w:val="auto"/>
          <w:sz w:val="18"/>
        </w:rPr>
        <w:t>２　木材の生産機能の維持増進を図る森林の区域及び当該区域における森林施業の方法　　　　・・・・・・・・・・・</w:t>
      </w:r>
      <w:r>
        <w:rPr>
          <w:rFonts w:hint="default" w:ascii="ＭＳ 明朝" w:hAnsi="ＭＳ 明朝"/>
          <w:color w:val="auto"/>
          <w:sz w:val="18"/>
        </w:rPr>
        <w:t>1</w:t>
      </w:r>
      <w:r>
        <w:rPr>
          <w:rFonts w:hint="eastAsia" w:ascii="ＭＳ 明朝" w:hAnsi="ＭＳ 明朝"/>
          <w:color w:val="auto"/>
          <w:sz w:val="18"/>
        </w:rPr>
        <w:t>2</w:t>
      </w:r>
    </w:p>
    <w:p>
      <w:pPr>
        <w:pStyle w:val="0"/>
        <w:ind w:firstLine="180" w:firstLineChars="100"/>
        <w:rPr>
          <w:rFonts w:hint="default" w:ascii="ＭＳ 明朝" w:hAnsi="ＭＳ 明朝"/>
          <w:color w:val="auto"/>
          <w:sz w:val="18"/>
        </w:rPr>
      </w:pPr>
      <w:r>
        <w:rPr>
          <w:rFonts w:hint="eastAsia" w:ascii="ＭＳ 明朝" w:hAnsi="ＭＳ 明朝"/>
          <w:color w:val="auto"/>
          <w:sz w:val="18"/>
        </w:rPr>
        <w:t>３　その他必要な事項　　　　・・・・・・・・・・・・・・・・・・・・・・・・・・・・・・・・・・・・・・・・</w:t>
      </w:r>
      <w:r>
        <w:rPr>
          <w:rFonts w:hint="default" w:ascii="ＭＳ 明朝" w:hAnsi="ＭＳ 明朝"/>
          <w:color w:val="auto"/>
          <w:sz w:val="18"/>
        </w:rPr>
        <w:t>1</w:t>
      </w:r>
      <w:r>
        <w:rPr>
          <w:rFonts w:hint="eastAsia" w:ascii="ＭＳ 明朝" w:hAnsi="ＭＳ 明朝"/>
          <w:color w:val="auto"/>
          <w:sz w:val="18"/>
        </w:rPr>
        <w:t>3</w:t>
      </w:r>
    </w:p>
    <w:p>
      <w:pPr>
        <w:pStyle w:val="15"/>
        <w:rPr>
          <w:rFonts w:hint="default" w:ascii="ＭＳ 明朝" w:hAnsi="ＭＳ 明朝" w:eastAsia="ＭＳ 明朝"/>
          <w:color w:val="auto"/>
          <w:spacing w:val="0"/>
          <w:kern w:val="2"/>
          <w:sz w:val="18"/>
        </w:rPr>
      </w:pPr>
    </w:p>
    <w:p>
      <w:pPr>
        <w:pStyle w:val="0"/>
        <w:rPr>
          <w:rFonts w:hint="default" w:ascii="ＭＳ 明朝" w:hAnsi="ＭＳ 明朝"/>
          <w:color w:val="auto"/>
          <w:sz w:val="18"/>
        </w:rPr>
      </w:pPr>
      <w:r>
        <w:rPr>
          <w:rFonts w:hint="eastAsia" w:ascii="ＭＳ 明朝" w:hAnsi="ＭＳ 明朝"/>
          <w:color w:val="auto"/>
          <w:sz w:val="18"/>
        </w:rPr>
        <w:t>第５　委託を受けて行う森林の施業又は経営の実施の促進に関する事項　　　　・・・・・・・・・・・・・・・・・・・</w:t>
      </w:r>
      <w:r>
        <w:rPr>
          <w:rFonts w:hint="default" w:ascii="ＭＳ 明朝" w:hAnsi="ＭＳ 明朝"/>
          <w:color w:val="auto"/>
          <w:sz w:val="18"/>
        </w:rPr>
        <w:t>1</w:t>
      </w:r>
      <w:r>
        <w:rPr>
          <w:rFonts w:hint="eastAsia" w:ascii="ＭＳ 明朝" w:hAnsi="ＭＳ 明朝"/>
          <w:color w:val="auto"/>
          <w:sz w:val="18"/>
        </w:rPr>
        <w:t>3</w:t>
      </w:r>
    </w:p>
    <w:p>
      <w:pPr>
        <w:pStyle w:val="0"/>
        <w:ind w:firstLine="180" w:firstLineChars="100"/>
        <w:rPr>
          <w:rFonts w:hint="default" w:ascii="ＭＳ 明朝" w:hAnsi="ＭＳ 明朝"/>
          <w:color w:val="auto"/>
          <w:sz w:val="18"/>
        </w:rPr>
      </w:pPr>
      <w:r>
        <w:rPr>
          <w:rFonts w:hint="eastAsia" w:ascii="ＭＳ 明朝" w:hAnsi="ＭＳ 明朝"/>
          <w:color w:val="auto"/>
          <w:sz w:val="18"/>
        </w:rPr>
        <w:t>１　森林の経営の受委託等による森林の経営規模の拡大に関する方針　　　　・・・・・・・・・・・・・・・・・・・</w:t>
      </w:r>
      <w:r>
        <w:rPr>
          <w:rFonts w:hint="default" w:ascii="ＭＳ 明朝" w:hAnsi="ＭＳ 明朝"/>
          <w:color w:val="auto"/>
          <w:sz w:val="18"/>
        </w:rPr>
        <w:t>1</w:t>
      </w:r>
      <w:r>
        <w:rPr>
          <w:rFonts w:hint="eastAsia" w:ascii="ＭＳ 明朝" w:hAnsi="ＭＳ 明朝"/>
          <w:color w:val="auto"/>
          <w:sz w:val="18"/>
        </w:rPr>
        <w:t>3</w:t>
      </w:r>
    </w:p>
    <w:p>
      <w:pPr>
        <w:pStyle w:val="0"/>
        <w:ind w:firstLine="180" w:firstLineChars="100"/>
        <w:rPr>
          <w:rFonts w:hint="default" w:ascii="ＭＳ 明朝" w:hAnsi="ＭＳ 明朝"/>
          <w:color w:val="auto"/>
          <w:sz w:val="18"/>
        </w:rPr>
      </w:pPr>
      <w:r>
        <w:rPr>
          <w:rFonts w:hint="eastAsia" w:ascii="ＭＳ 明朝" w:hAnsi="ＭＳ 明朝"/>
          <w:color w:val="auto"/>
          <w:sz w:val="18"/>
        </w:rPr>
        <w:t>２　森林の施業又は経営の受託等による規模拡大を促進するための方策　　　　・・・・・・・・・・・・・・・・・・</w:t>
      </w:r>
      <w:r>
        <w:rPr>
          <w:rFonts w:hint="default" w:ascii="ＭＳ 明朝" w:hAnsi="ＭＳ 明朝"/>
          <w:color w:val="auto"/>
          <w:sz w:val="18"/>
        </w:rPr>
        <w:t>1</w:t>
      </w:r>
      <w:r>
        <w:rPr>
          <w:rFonts w:hint="eastAsia" w:ascii="ＭＳ 明朝" w:hAnsi="ＭＳ 明朝"/>
          <w:color w:val="auto"/>
          <w:sz w:val="18"/>
        </w:rPr>
        <w:t>4</w:t>
      </w:r>
    </w:p>
    <w:p>
      <w:pPr>
        <w:pStyle w:val="0"/>
        <w:ind w:firstLine="180" w:firstLineChars="100"/>
        <w:rPr>
          <w:rFonts w:hint="default" w:ascii="ＭＳ 明朝" w:hAnsi="ＭＳ 明朝"/>
          <w:color w:val="auto"/>
          <w:sz w:val="18"/>
        </w:rPr>
      </w:pPr>
      <w:r>
        <w:rPr>
          <w:rFonts w:hint="eastAsia" w:ascii="ＭＳ 明朝" w:hAnsi="ＭＳ 明朝"/>
          <w:color w:val="auto"/>
          <w:sz w:val="18"/>
        </w:rPr>
        <w:t>３　森林の施業又は経営の受託等を実施する上で留意すべき事項　　　　・・・・・・・・・・・・・・・・・・・・・</w:t>
      </w:r>
      <w:r>
        <w:rPr>
          <w:rFonts w:hint="default" w:ascii="ＭＳ 明朝" w:hAnsi="ＭＳ 明朝"/>
          <w:color w:val="auto"/>
          <w:sz w:val="18"/>
        </w:rPr>
        <w:t>1</w:t>
      </w:r>
      <w:r>
        <w:rPr>
          <w:rFonts w:hint="eastAsia" w:ascii="ＭＳ 明朝" w:hAnsi="ＭＳ 明朝"/>
          <w:color w:val="auto"/>
          <w:sz w:val="18"/>
        </w:rPr>
        <w:t>4</w:t>
      </w:r>
    </w:p>
    <w:p>
      <w:pPr>
        <w:pStyle w:val="0"/>
        <w:ind w:firstLine="180" w:firstLineChars="100"/>
        <w:rPr>
          <w:rFonts w:hint="default" w:ascii="ＭＳ 明朝" w:hAnsi="ＭＳ 明朝"/>
          <w:color w:val="auto"/>
          <w:sz w:val="18"/>
        </w:rPr>
      </w:pPr>
      <w:r>
        <w:rPr>
          <w:rFonts w:hint="eastAsia" w:ascii="ＭＳ 明朝" w:hAnsi="ＭＳ 明朝"/>
          <w:color w:val="auto"/>
          <w:sz w:val="18"/>
        </w:rPr>
        <w:t>４　森林経営管理制度の活用に関する事項　　　　・・・・・・・・・・・・・・・・・・・・・・・・・・・・・・・</w:t>
      </w:r>
      <w:r>
        <w:rPr>
          <w:rFonts w:hint="eastAsia" w:ascii="ＭＳ 明朝" w:hAnsi="ＭＳ 明朝"/>
          <w:color w:val="auto"/>
          <w:sz w:val="18"/>
        </w:rPr>
        <w:t>14</w:t>
      </w:r>
    </w:p>
    <w:p>
      <w:pPr>
        <w:pStyle w:val="15"/>
        <w:rPr>
          <w:rFonts w:hint="default" w:ascii="ＭＳ 明朝" w:hAnsi="ＭＳ 明朝" w:eastAsia="ＭＳ 明朝"/>
          <w:color w:val="auto"/>
          <w:spacing w:val="0"/>
          <w:kern w:val="2"/>
          <w:sz w:val="18"/>
        </w:rPr>
      </w:pPr>
    </w:p>
    <w:p>
      <w:pPr>
        <w:pStyle w:val="0"/>
        <w:rPr>
          <w:rFonts w:hint="default" w:ascii="ＭＳ 明朝" w:hAnsi="ＭＳ 明朝"/>
          <w:color w:val="auto"/>
          <w:sz w:val="18"/>
        </w:rPr>
      </w:pPr>
      <w:r>
        <w:rPr>
          <w:rFonts w:hint="eastAsia" w:ascii="ＭＳ 明朝" w:hAnsi="ＭＳ 明朝"/>
          <w:color w:val="auto"/>
          <w:sz w:val="18"/>
        </w:rPr>
        <w:t>第６　森林施業の共同化の促進に関する事項　　　　・・・・・・・・・・・・・・・・・・・・・・・・・・・・・・・</w:t>
      </w:r>
      <w:r>
        <w:rPr>
          <w:rFonts w:hint="eastAsia" w:ascii="ＭＳ 明朝" w:hAnsi="ＭＳ 明朝"/>
          <w:color w:val="auto"/>
          <w:sz w:val="18"/>
        </w:rPr>
        <w:t>14</w:t>
      </w:r>
    </w:p>
    <w:p>
      <w:pPr>
        <w:pStyle w:val="0"/>
        <w:ind w:firstLine="180" w:firstLineChars="100"/>
        <w:rPr>
          <w:rFonts w:hint="default" w:ascii="ＭＳ 明朝" w:hAnsi="ＭＳ 明朝"/>
          <w:color w:val="auto"/>
          <w:sz w:val="18"/>
        </w:rPr>
      </w:pPr>
      <w:r>
        <w:rPr>
          <w:rFonts w:hint="eastAsia" w:ascii="ＭＳ 明朝" w:hAnsi="ＭＳ 明朝"/>
          <w:color w:val="auto"/>
          <w:sz w:val="18"/>
        </w:rPr>
        <w:t>１　森林施業の共同化の促進方向　　　　・・・・・・・・・・・・・・・・・・・・・・・・・・・・・・・・・・・</w:t>
      </w:r>
      <w:r>
        <w:rPr>
          <w:rFonts w:hint="eastAsia" w:ascii="ＭＳ 明朝" w:hAnsi="ＭＳ 明朝"/>
          <w:color w:val="auto"/>
          <w:sz w:val="18"/>
        </w:rPr>
        <w:t>14</w:t>
      </w:r>
    </w:p>
    <w:p>
      <w:pPr>
        <w:pStyle w:val="0"/>
        <w:ind w:firstLine="180" w:firstLineChars="100"/>
        <w:rPr>
          <w:rFonts w:hint="default" w:ascii="ＭＳ 明朝" w:hAnsi="ＭＳ 明朝"/>
          <w:color w:val="auto"/>
          <w:sz w:val="18"/>
        </w:rPr>
      </w:pPr>
      <w:r>
        <w:rPr>
          <w:rFonts w:hint="eastAsia" w:ascii="ＭＳ 明朝" w:hAnsi="ＭＳ 明朝"/>
          <w:color w:val="auto"/>
          <w:sz w:val="18"/>
        </w:rPr>
        <w:t>２　施業実施協定の締結その他森林施業の共同化の促進方策　　　　・・・・・・・・・・・・・・・・・・・・・・・</w:t>
      </w:r>
      <w:r>
        <w:rPr>
          <w:rFonts w:hint="eastAsia" w:ascii="ＭＳ 明朝" w:hAnsi="ＭＳ 明朝"/>
          <w:color w:val="auto"/>
          <w:sz w:val="18"/>
        </w:rPr>
        <w:t>14</w:t>
      </w:r>
    </w:p>
    <w:p>
      <w:pPr>
        <w:pStyle w:val="0"/>
        <w:ind w:firstLine="180" w:firstLineChars="100"/>
        <w:rPr>
          <w:rFonts w:hint="default" w:ascii="ＭＳ 明朝" w:hAnsi="ＭＳ 明朝"/>
          <w:color w:val="auto"/>
          <w:sz w:val="18"/>
        </w:rPr>
      </w:pPr>
      <w:r>
        <w:rPr>
          <w:rFonts w:hint="eastAsia" w:ascii="ＭＳ 明朝" w:hAnsi="ＭＳ 明朝"/>
          <w:color w:val="auto"/>
          <w:sz w:val="18"/>
        </w:rPr>
        <w:t>３　共同して森林施業を実施する上で留意すべき事項　　　　・・・・・・・・・・・・・・・・・・・・・・・・・・</w:t>
      </w:r>
      <w:r>
        <w:rPr>
          <w:rFonts w:hint="eastAsia" w:ascii="ＭＳ 明朝" w:hAnsi="ＭＳ 明朝"/>
          <w:color w:val="auto"/>
          <w:sz w:val="18"/>
        </w:rPr>
        <w:t>14</w:t>
      </w:r>
    </w:p>
    <w:p>
      <w:pPr>
        <w:pStyle w:val="15"/>
        <w:rPr>
          <w:rFonts w:hint="default" w:ascii="ＭＳ 明朝" w:hAnsi="ＭＳ 明朝" w:eastAsia="ＭＳ 明朝"/>
          <w:color w:val="auto"/>
          <w:spacing w:val="0"/>
          <w:kern w:val="2"/>
          <w:sz w:val="18"/>
        </w:rPr>
      </w:pPr>
    </w:p>
    <w:p>
      <w:pPr>
        <w:pStyle w:val="0"/>
        <w:rPr>
          <w:rFonts w:hint="default" w:ascii="ＭＳ 明朝" w:hAnsi="ＭＳ 明朝"/>
          <w:color w:val="auto"/>
          <w:sz w:val="18"/>
        </w:rPr>
      </w:pPr>
      <w:r>
        <w:rPr>
          <w:rFonts w:hint="eastAsia" w:ascii="ＭＳ 明朝" w:hAnsi="ＭＳ 明朝"/>
          <w:color w:val="auto"/>
          <w:sz w:val="18"/>
        </w:rPr>
        <w:t>第７　作業路網その他森林の整備のために必要な施設の整備に関する事項　　　　・・・・・・・・・・・・・・・・・・</w:t>
      </w:r>
      <w:r>
        <w:rPr>
          <w:rFonts w:hint="eastAsia" w:ascii="ＭＳ 明朝" w:hAnsi="ＭＳ 明朝"/>
          <w:color w:val="auto"/>
          <w:sz w:val="18"/>
        </w:rPr>
        <w:t>14</w:t>
      </w:r>
    </w:p>
    <w:p>
      <w:pPr>
        <w:pStyle w:val="0"/>
        <w:ind w:firstLine="180" w:firstLineChars="100"/>
        <w:rPr>
          <w:rFonts w:hint="default" w:ascii="ＭＳ 明朝" w:hAnsi="ＭＳ 明朝"/>
          <w:color w:val="auto"/>
          <w:sz w:val="18"/>
        </w:rPr>
      </w:pPr>
      <w:r>
        <w:rPr>
          <w:rFonts w:hint="eastAsia" w:ascii="ＭＳ 明朝" w:hAnsi="ＭＳ 明朝"/>
          <w:color w:val="auto"/>
          <w:sz w:val="18"/>
        </w:rPr>
        <w:t>１　作業路網の整備に関する事項　　　　・・・・・・・・・・・・・・・・・・・・・・・・・・・・・・・・・・・</w:t>
      </w:r>
      <w:r>
        <w:rPr>
          <w:rFonts w:hint="eastAsia" w:ascii="ＭＳ 明朝" w:hAnsi="ＭＳ 明朝"/>
          <w:color w:val="auto"/>
          <w:sz w:val="18"/>
        </w:rPr>
        <w:t>14</w:t>
      </w:r>
    </w:p>
    <w:p>
      <w:pPr>
        <w:pStyle w:val="0"/>
        <w:ind w:firstLine="180" w:firstLineChars="100"/>
        <w:rPr>
          <w:rFonts w:hint="default" w:ascii="ＭＳ 明朝" w:hAnsi="ＭＳ 明朝"/>
          <w:color w:val="auto"/>
          <w:sz w:val="18"/>
        </w:rPr>
      </w:pPr>
      <w:r>
        <w:rPr>
          <w:rFonts w:hint="eastAsia" w:ascii="ＭＳ 明朝" w:hAnsi="ＭＳ 明朝"/>
          <w:color w:val="auto"/>
          <w:sz w:val="18"/>
        </w:rPr>
        <w:t>２　その他必要な事項　　　　・・・・・・・・・・・・・・・・・・・・・・・・・・・・・・・・・・・・・・・・</w:t>
      </w:r>
      <w:r>
        <w:rPr>
          <w:rFonts w:hint="eastAsia" w:ascii="ＭＳ 明朝" w:hAnsi="ＭＳ 明朝"/>
          <w:color w:val="auto"/>
          <w:sz w:val="18"/>
        </w:rPr>
        <w:t>16</w:t>
      </w:r>
    </w:p>
    <w:p>
      <w:pPr>
        <w:pStyle w:val="15"/>
        <w:rPr>
          <w:rFonts w:hint="default" w:ascii="ＭＳ 明朝" w:hAnsi="ＭＳ 明朝" w:eastAsia="ＭＳ 明朝"/>
          <w:color w:val="auto"/>
          <w:spacing w:val="0"/>
          <w:kern w:val="2"/>
          <w:sz w:val="18"/>
        </w:rPr>
      </w:pPr>
    </w:p>
    <w:p>
      <w:pPr>
        <w:pStyle w:val="0"/>
        <w:rPr>
          <w:rFonts w:hint="default" w:ascii="ＭＳ 明朝" w:hAnsi="ＭＳ 明朝"/>
          <w:color w:val="auto"/>
          <w:sz w:val="18"/>
        </w:rPr>
      </w:pPr>
      <w:r>
        <w:rPr>
          <w:rFonts w:hint="eastAsia" w:ascii="ＭＳ 明朝" w:hAnsi="ＭＳ 明朝"/>
          <w:color w:val="auto"/>
          <w:sz w:val="18"/>
        </w:rPr>
        <w:t>第８　その他森林整備の方法に関して必要な事項　　　　・・・・・・・・・・・・・・・・・・・・・・・・・・・・・</w:t>
      </w:r>
      <w:r>
        <w:rPr>
          <w:rFonts w:hint="eastAsia" w:ascii="ＭＳ 明朝" w:hAnsi="ＭＳ 明朝"/>
          <w:color w:val="auto"/>
          <w:sz w:val="18"/>
        </w:rPr>
        <w:t>16</w:t>
      </w:r>
    </w:p>
    <w:p>
      <w:pPr>
        <w:pStyle w:val="0"/>
        <w:ind w:firstLine="180" w:firstLineChars="100"/>
        <w:rPr>
          <w:rFonts w:hint="default" w:ascii="ＭＳ 明朝" w:hAnsi="ＭＳ 明朝"/>
          <w:color w:val="auto"/>
          <w:sz w:val="18"/>
        </w:rPr>
      </w:pPr>
      <w:r>
        <w:rPr>
          <w:rFonts w:hint="eastAsia" w:ascii="ＭＳ 明朝" w:hAnsi="ＭＳ 明朝"/>
          <w:color w:val="auto"/>
          <w:sz w:val="18"/>
        </w:rPr>
        <w:t>１　林業に従事する者の養成及び確保に関する事項　　　　・・・・・・・・・・・・・・・・・・・・・・・・・・・</w:t>
      </w:r>
      <w:r>
        <w:rPr>
          <w:rFonts w:hint="eastAsia" w:ascii="ＭＳ 明朝" w:hAnsi="ＭＳ 明朝"/>
          <w:color w:val="auto"/>
          <w:sz w:val="18"/>
        </w:rPr>
        <w:t>16</w:t>
      </w:r>
    </w:p>
    <w:p>
      <w:pPr>
        <w:pStyle w:val="0"/>
        <w:ind w:firstLine="180" w:firstLineChars="100"/>
        <w:rPr>
          <w:rFonts w:hint="default" w:ascii="ＭＳ 明朝" w:hAnsi="ＭＳ 明朝"/>
          <w:color w:val="auto"/>
          <w:sz w:val="18"/>
        </w:rPr>
      </w:pPr>
      <w:r>
        <w:rPr>
          <w:rFonts w:hint="eastAsia" w:ascii="ＭＳ 明朝" w:hAnsi="ＭＳ 明朝"/>
          <w:color w:val="auto"/>
          <w:sz w:val="18"/>
        </w:rPr>
        <w:t>２　森林施業の合理化を図るために必要な機械の導入の促進に関する事項　　　　・・・・・・・・・・・・・・・・・</w:t>
      </w:r>
      <w:r>
        <w:rPr>
          <w:rFonts w:hint="eastAsia" w:ascii="ＭＳ 明朝" w:hAnsi="ＭＳ 明朝"/>
          <w:color w:val="auto"/>
          <w:sz w:val="18"/>
        </w:rPr>
        <w:t>16</w:t>
      </w:r>
    </w:p>
    <w:p>
      <w:pPr>
        <w:pStyle w:val="0"/>
        <w:ind w:firstLine="180" w:firstLineChars="100"/>
        <w:rPr>
          <w:rFonts w:hint="default" w:ascii="ＭＳ 明朝" w:hAnsi="ＭＳ 明朝"/>
          <w:color w:val="auto"/>
          <w:sz w:val="18"/>
        </w:rPr>
      </w:pPr>
      <w:r>
        <w:rPr>
          <w:rFonts w:hint="eastAsia" w:ascii="ＭＳ 明朝" w:hAnsi="ＭＳ 明朝"/>
          <w:color w:val="auto"/>
          <w:sz w:val="18"/>
        </w:rPr>
        <w:t>３　林産物の利用の促進のために必要な施設の整備に関する事項　　　　・・・・・・・・・・・・・・・・・・・・・</w:t>
      </w:r>
      <w:r>
        <w:rPr>
          <w:rFonts w:hint="default" w:ascii="ＭＳ 明朝" w:hAnsi="ＭＳ 明朝"/>
          <w:color w:val="auto"/>
          <w:sz w:val="18"/>
        </w:rPr>
        <w:t>1</w:t>
      </w:r>
      <w:r>
        <w:rPr>
          <w:rFonts w:hint="eastAsia" w:ascii="ＭＳ 明朝" w:hAnsi="ＭＳ 明朝"/>
          <w:color w:val="auto"/>
          <w:sz w:val="18"/>
        </w:rPr>
        <w:t>7</w:t>
      </w:r>
    </w:p>
    <w:p>
      <w:pPr>
        <w:pStyle w:val="0"/>
        <w:ind w:firstLine="180" w:firstLineChars="100"/>
        <w:rPr>
          <w:rFonts w:hint="default" w:ascii="ＭＳ 明朝" w:hAnsi="ＭＳ 明朝"/>
          <w:color w:val="auto"/>
          <w:sz w:val="18"/>
        </w:rPr>
      </w:pPr>
      <w:r>
        <w:rPr>
          <w:rFonts w:hint="eastAsia" w:ascii="ＭＳ 明朝" w:hAnsi="ＭＳ 明朝"/>
          <w:color w:val="auto"/>
          <w:sz w:val="18"/>
        </w:rPr>
        <w:t>４　その他必要な事項　　　　・・・・・・・・・・・・・・・・・・・・・・・・・・・・・・・・・・・・・・・・</w:t>
      </w:r>
      <w:r>
        <w:rPr>
          <w:rFonts w:hint="default" w:ascii="ＭＳ 明朝" w:hAnsi="ＭＳ 明朝"/>
          <w:color w:val="auto"/>
          <w:sz w:val="18"/>
        </w:rPr>
        <w:t>1</w:t>
      </w:r>
      <w:r>
        <w:rPr>
          <w:rFonts w:hint="eastAsia" w:ascii="ＭＳ 明朝" w:hAnsi="ＭＳ 明朝"/>
          <w:color w:val="auto"/>
          <w:sz w:val="18"/>
        </w:rPr>
        <w:t>7</w:t>
      </w:r>
    </w:p>
    <w:p>
      <w:pPr>
        <w:pStyle w:val="15"/>
        <w:rPr>
          <w:rFonts w:hint="default" w:ascii="ＭＳ 明朝" w:hAnsi="ＭＳ 明朝" w:eastAsia="ＭＳ 明朝"/>
          <w:color w:val="auto"/>
          <w:spacing w:val="0"/>
          <w:kern w:val="2"/>
          <w:sz w:val="18"/>
        </w:rPr>
      </w:pPr>
    </w:p>
    <w:p>
      <w:pPr>
        <w:pStyle w:val="15"/>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Ⅲ　森林の保護に関する事項　　　・・・・・・・・・・・・・・・・・・・・・・・・・・・・・・・・・・・・・・・</w:t>
      </w:r>
      <w:r>
        <w:rPr>
          <w:rFonts w:hint="default" w:ascii="ＭＳ 明朝" w:hAnsi="ＭＳ 明朝"/>
          <w:color w:val="auto"/>
          <w:sz w:val="18"/>
        </w:rPr>
        <w:t>1</w:t>
      </w:r>
      <w:r>
        <w:rPr>
          <w:rFonts w:hint="eastAsia" w:ascii="ＭＳ 明朝" w:hAnsi="ＭＳ 明朝"/>
          <w:color w:val="auto"/>
          <w:sz w:val="18"/>
        </w:rPr>
        <w:t>7</w:t>
      </w:r>
    </w:p>
    <w:p>
      <w:pPr>
        <w:pStyle w:val="15"/>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第１　鳥獣害の防止に関する事項　　　・・・・・・・・・・・・・・・・・・・・・・・・・・・・・・・・・・・・・</w:t>
      </w:r>
      <w:r>
        <w:rPr>
          <w:rFonts w:hint="default" w:ascii="ＭＳ 明朝" w:hAnsi="ＭＳ 明朝"/>
          <w:color w:val="auto"/>
          <w:sz w:val="18"/>
        </w:rPr>
        <w:t>1</w:t>
      </w:r>
      <w:r>
        <w:rPr>
          <w:rFonts w:hint="eastAsia" w:ascii="ＭＳ 明朝" w:hAnsi="ＭＳ 明朝"/>
          <w:color w:val="auto"/>
          <w:sz w:val="18"/>
        </w:rPr>
        <w:t>7</w:t>
      </w:r>
    </w:p>
    <w:p>
      <w:pPr>
        <w:pStyle w:val="15"/>
        <w:ind w:firstLine="180" w:firstLineChars="100"/>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１　鳥獣害防止森林区域及び当該区域内における鳥獣害の防止の方法　　　・・・・・・・・・・・・・・・・・・・・</w:t>
      </w:r>
      <w:r>
        <w:rPr>
          <w:rFonts w:hint="eastAsia" w:ascii="ＭＳ 明朝" w:hAnsi="ＭＳ 明朝" w:eastAsia="ＭＳ 明朝"/>
          <w:color w:val="auto"/>
          <w:spacing w:val="0"/>
          <w:kern w:val="2"/>
          <w:sz w:val="18"/>
        </w:rPr>
        <w:t>17</w:t>
      </w:r>
    </w:p>
    <w:p>
      <w:pPr>
        <w:pStyle w:val="15"/>
        <w:ind w:firstLine="180" w:firstLineChars="100"/>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２　その他必要な事項　　　・・・・・・・・・・・・・・・・・・・・・・・・・・・・・・・・・・・・・・・・・</w:t>
      </w:r>
      <w:r>
        <w:rPr>
          <w:rFonts w:hint="eastAsia" w:ascii="ＭＳ 明朝" w:hAnsi="ＭＳ 明朝" w:eastAsia="ＭＳ 明朝"/>
          <w:color w:val="auto"/>
          <w:spacing w:val="0"/>
          <w:kern w:val="2"/>
          <w:sz w:val="18"/>
        </w:rPr>
        <w:t>18</w:t>
      </w:r>
    </w:p>
    <w:p>
      <w:pPr>
        <w:pStyle w:val="15"/>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第２　森林病害虫の駆除</w:t>
      </w:r>
      <w:r>
        <w:rPr>
          <w:rFonts w:hint="eastAsia" w:ascii="ＭＳ 明朝" w:hAnsi="ＭＳ 明朝" w:eastAsia="ＭＳ 明朝"/>
          <w:color w:val="auto"/>
          <w:spacing w:val="0"/>
          <w:kern w:val="2"/>
          <w:sz w:val="18"/>
          <w:u w:val="none" w:color="auto"/>
        </w:rPr>
        <w:t>及び</w:t>
      </w:r>
      <w:r>
        <w:rPr>
          <w:rFonts w:hint="eastAsia" w:ascii="ＭＳ 明朝" w:hAnsi="ＭＳ 明朝" w:eastAsia="ＭＳ 明朝"/>
          <w:color w:val="auto"/>
          <w:spacing w:val="0"/>
          <w:kern w:val="2"/>
          <w:sz w:val="18"/>
        </w:rPr>
        <w:t>予防その他森林の保護に関する事項　　　・・・・・・・・・・・・・・・・・・・・・・・</w:t>
      </w:r>
      <w:r>
        <w:rPr>
          <w:rFonts w:hint="eastAsia" w:ascii="ＭＳ 明朝" w:hAnsi="ＭＳ 明朝" w:eastAsia="ＭＳ 明朝"/>
          <w:color w:val="auto"/>
          <w:spacing w:val="0"/>
          <w:kern w:val="2"/>
          <w:sz w:val="18"/>
        </w:rPr>
        <w:t>18</w:t>
      </w:r>
    </w:p>
    <w:p>
      <w:pPr>
        <w:pStyle w:val="15"/>
        <w:ind w:firstLine="180" w:firstLineChars="100"/>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１　森林病害虫等の駆除</w:t>
      </w:r>
      <w:r>
        <w:rPr>
          <w:rFonts w:hint="eastAsia" w:ascii="ＭＳ 明朝" w:hAnsi="ＭＳ 明朝" w:eastAsia="ＭＳ 明朝"/>
          <w:color w:val="auto"/>
          <w:spacing w:val="0"/>
          <w:kern w:val="2"/>
          <w:sz w:val="18"/>
          <w:u w:val="none" w:color="auto"/>
        </w:rPr>
        <w:t>及び</w:t>
      </w:r>
      <w:r>
        <w:rPr>
          <w:rFonts w:hint="eastAsia" w:ascii="ＭＳ 明朝" w:hAnsi="ＭＳ 明朝" w:eastAsia="ＭＳ 明朝"/>
          <w:color w:val="auto"/>
          <w:spacing w:val="0"/>
          <w:kern w:val="2"/>
          <w:sz w:val="18"/>
        </w:rPr>
        <w:t>予防の方法　　　・・・・・・・・・・・・・・・・・・・・・・・・・・・・・・・・・</w:t>
      </w:r>
      <w:r>
        <w:rPr>
          <w:rFonts w:hint="eastAsia" w:ascii="ＭＳ 明朝" w:hAnsi="ＭＳ 明朝" w:eastAsia="ＭＳ 明朝"/>
          <w:color w:val="auto"/>
          <w:spacing w:val="0"/>
          <w:kern w:val="2"/>
          <w:sz w:val="18"/>
        </w:rPr>
        <w:t>18</w:t>
      </w:r>
    </w:p>
    <w:p>
      <w:pPr>
        <w:pStyle w:val="15"/>
        <w:ind w:firstLine="180" w:firstLineChars="100"/>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２　鳥獣害対策の方法（鳥獣害防止森林区域以外）　　　・・・・・・・・・・・・・・・・・・・・・・・・・・・・</w:t>
      </w:r>
      <w:r>
        <w:rPr>
          <w:rFonts w:hint="eastAsia" w:ascii="ＭＳ 明朝" w:hAnsi="ＭＳ 明朝" w:eastAsia="ＭＳ 明朝"/>
          <w:color w:val="auto"/>
          <w:spacing w:val="0"/>
          <w:kern w:val="2"/>
          <w:sz w:val="18"/>
        </w:rPr>
        <w:t>18</w:t>
      </w:r>
    </w:p>
    <w:p>
      <w:pPr>
        <w:pStyle w:val="0"/>
        <w:ind w:firstLine="180" w:firstLineChars="100"/>
        <w:rPr>
          <w:rFonts w:hint="default" w:ascii="ＭＳ 明朝" w:hAnsi="ＭＳ 明朝"/>
          <w:color w:val="auto"/>
          <w:sz w:val="18"/>
        </w:rPr>
      </w:pPr>
      <w:r>
        <w:rPr>
          <w:rFonts w:hint="eastAsia" w:ascii="ＭＳ 明朝" w:hAnsi="ＭＳ 明朝"/>
          <w:color w:val="auto"/>
          <w:sz w:val="18"/>
        </w:rPr>
        <w:t>３　林野火災の予防の方法　　　　・・・・・・・・・・・・・・・・・・・・・・・・・・・・・・・・・・・・・・</w:t>
      </w:r>
      <w:r>
        <w:rPr>
          <w:rFonts w:hint="eastAsia" w:ascii="ＭＳ 明朝" w:hAnsi="ＭＳ 明朝"/>
          <w:color w:val="auto"/>
          <w:sz w:val="18"/>
        </w:rPr>
        <w:t>18</w:t>
      </w:r>
    </w:p>
    <w:p>
      <w:pPr>
        <w:pStyle w:val="15"/>
        <w:ind w:firstLine="180" w:firstLineChars="100"/>
        <w:rPr>
          <w:rFonts w:hint="default" w:ascii="ＭＳ 明朝" w:hAnsi="ＭＳ 明朝" w:eastAsia="ＭＳ 明朝"/>
          <w:color w:val="auto"/>
          <w:spacing w:val="0"/>
          <w:kern w:val="2"/>
          <w:sz w:val="18"/>
        </w:rPr>
      </w:pPr>
      <w:r>
        <w:rPr>
          <w:rFonts w:hint="eastAsia" w:ascii="ＭＳ 明朝" w:hAnsi="ＭＳ 明朝" w:eastAsia="ＭＳ 明朝"/>
          <w:color w:val="auto"/>
          <w:spacing w:val="0"/>
          <w:kern w:val="2"/>
          <w:sz w:val="18"/>
        </w:rPr>
        <w:t>４　森林病害虫の駆除等のための火入れを実施する場合の留意事項　　　　・・・・・・・・・・・・・・・・・・・・</w:t>
      </w:r>
      <w:r>
        <w:rPr>
          <w:rFonts w:hint="eastAsia" w:ascii="ＭＳ 明朝" w:hAnsi="ＭＳ 明朝" w:eastAsia="ＭＳ 明朝"/>
          <w:color w:val="auto"/>
          <w:sz w:val="18"/>
        </w:rPr>
        <w:t>19</w:t>
      </w:r>
    </w:p>
    <w:p>
      <w:pPr>
        <w:pStyle w:val="0"/>
        <w:ind w:firstLine="180" w:firstLineChars="100"/>
        <w:rPr>
          <w:rFonts w:hint="default" w:ascii="ＭＳ 明朝" w:hAnsi="ＭＳ 明朝"/>
          <w:color w:val="auto"/>
          <w:sz w:val="18"/>
        </w:rPr>
      </w:pPr>
      <w:r>
        <w:rPr>
          <w:rFonts w:hint="eastAsia" w:ascii="ＭＳ 明朝" w:hAnsi="ＭＳ 明朝"/>
          <w:color w:val="auto"/>
          <w:sz w:val="18"/>
        </w:rPr>
        <w:t>５　その他必要な事項　　　　・・・・・・・・・・・・・・・・・・・・・・・・・・・・・・・・・・・・・・・・</w:t>
      </w:r>
      <w:r>
        <w:rPr>
          <w:rFonts w:hint="eastAsia" w:ascii="ＭＳ 明朝" w:hAnsi="ＭＳ 明朝"/>
          <w:color w:val="auto"/>
          <w:sz w:val="18"/>
        </w:rPr>
        <w:t>19</w:t>
      </w:r>
    </w:p>
    <w:p>
      <w:pPr>
        <w:pStyle w:val="0"/>
        <w:rPr>
          <w:rFonts w:hint="default" w:ascii="ＭＳ 明朝" w:hAnsi="ＭＳ 明朝"/>
          <w:color w:val="auto"/>
          <w:sz w:val="18"/>
        </w:rPr>
      </w:pPr>
    </w:p>
    <w:p>
      <w:pPr>
        <w:pStyle w:val="0"/>
        <w:rPr>
          <w:rFonts w:hint="default" w:ascii="ＭＳ 明朝" w:hAnsi="ＭＳ 明朝"/>
          <w:color w:val="auto"/>
          <w:sz w:val="18"/>
        </w:rPr>
      </w:pPr>
      <w:r>
        <w:rPr>
          <w:rFonts w:hint="eastAsia" w:ascii="ＭＳ 明朝" w:hAnsi="ＭＳ 明朝"/>
          <w:color w:val="auto"/>
          <w:sz w:val="18"/>
        </w:rPr>
        <w:t>Ⅳ　森林の保健機能の増進に関する事項　　　　・・・・・・・・・・・・・・・・・・・・・・・・・・・・・・・・・</w:t>
      </w:r>
      <w:r>
        <w:rPr>
          <w:rFonts w:hint="eastAsia" w:ascii="ＭＳ 明朝" w:hAnsi="ＭＳ 明朝"/>
          <w:color w:val="auto"/>
          <w:sz w:val="18"/>
        </w:rPr>
        <w:t>19</w:t>
      </w:r>
    </w:p>
    <w:p>
      <w:pPr>
        <w:pStyle w:val="15"/>
        <w:rPr>
          <w:rFonts w:hint="default" w:ascii="ＭＳ 明朝" w:hAnsi="ＭＳ 明朝" w:eastAsia="ＭＳ 明朝"/>
          <w:color w:val="auto"/>
          <w:spacing w:val="0"/>
          <w:kern w:val="2"/>
          <w:sz w:val="18"/>
        </w:rPr>
      </w:pPr>
    </w:p>
    <w:p>
      <w:pPr>
        <w:pStyle w:val="0"/>
        <w:rPr>
          <w:rFonts w:hint="default" w:ascii="ＭＳ 明朝" w:hAnsi="ＭＳ 明朝"/>
          <w:color w:val="auto"/>
          <w:sz w:val="18"/>
        </w:rPr>
      </w:pPr>
      <w:r>
        <w:rPr>
          <w:rFonts w:hint="eastAsia" w:ascii="ＭＳ 明朝" w:hAnsi="ＭＳ 明朝"/>
          <w:color w:val="auto"/>
          <w:sz w:val="18"/>
        </w:rPr>
        <w:t>Ⅴ　その他森林の整備のために必要な事項　　　　・・・・・・・・・・・・・・・・・・・・・・・・・・・・・・・・</w:t>
      </w:r>
      <w:r>
        <w:rPr>
          <w:rFonts w:hint="eastAsia" w:ascii="ＭＳ 明朝" w:hAnsi="ＭＳ 明朝"/>
          <w:color w:val="auto"/>
          <w:sz w:val="18"/>
        </w:rPr>
        <w:t>19</w:t>
      </w:r>
    </w:p>
    <w:p>
      <w:pPr>
        <w:pStyle w:val="0"/>
        <w:ind w:firstLine="180" w:firstLineChars="100"/>
        <w:rPr>
          <w:rFonts w:hint="default" w:ascii="ＭＳ 明朝" w:hAnsi="ＭＳ 明朝"/>
          <w:color w:val="auto"/>
          <w:sz w:val="18"/>
        </w:rPr>
      </w:pPr>
      <w:r>
        <w:rPr>
          <w:rFonts w:hint="eastAsia" w:ascii="ＭＳ 明朝" w:hAnsi="ＭＳ 明朝"/>
          <w:color w:val="auto"/>
          <w:sz w:val="18"/>
        </w:rPr>
        <w:t>１　森林経営計画の作成に関する事項　　　　・・・・・・・・・・・・・・・・・・・・・・・・・・・・・・・・・</w:t>
      </w:r>
      <w:r>
        <w:rPr>
          <w:rFonts w:hint="eastAsia" w:ascii="ＭＳ 明朝" w:hAnsi="ＭＳ 明朝"/>
          <w:color w:val="auto"/>
          <w:sz w:val="18"/>
        </w:rPr>
        <w:t>19</w:t>
      </w:r>
    </w:p>
    <w:p>
      <w:pPr>
        <w:pStyle w:val="0"/>
        <w:ind w:firstLine="180" w:firstLineChars="100"/>
        <w:rPr>
          <w:rFonts w:hint="default" w:ascii="ＭＳ 明朝" w:hAnsi="ＭＳ 明朝"/>
          <w:color w:val="auto"/>
          <w:sz w:val="18"/>
        </w:rPr>
      </w:pPr>
      <w:r>
        <w:rPr>
          <w:rFonts w:hint="eastAsia" w:ascii="ＭＳ 明朝" w:hAnsi="ＭＳ 明朝"/>
          <w:color w:val="auto"/>
          <w:sz w:val="18"/>
        </w:rPr>
        <w:t>２　森林の整備を通じた地域振興に関する事項　　　　・・・・・・・・・・・・・・・・・・・・・・・・・・・・・</w:t>
      </w:r>
      <w:r>
        <w:rPr>
          <w:rFonts w:hint="eastAsia" w:ascii="ＭＳ 明朝" w:hAnsi="ＭＳ 明朝"/>
          <w:color w:val="auto"/>
          <w:sz w:val="18"/>
        </w:rPr>
        <w:t>19</w:t>
      </w:r>
    </w:p>
    <w:p>
      <w:pPr>
        <w:pStyle w:val="0"/>
        <w:ind w:firstLine="180" w:firstLineChars="100"/>
        <w:rPr>
          <w:rFonts w:hint="default" w:ascii="ＭＳ 明朝" w:hAnsi="ＭＳ 明朝"/>
          <w:color w:val="auto"/>
          <w:sz w:val="18"/>
        </w:rPr>
      </w:pPr>
      <w:r>
        <w:rPr>
          <w:rFonts w:hint="eastAsia" w:ascii="ＭＳ 明朝" w:hAnsi="ＭＳ 明朝"/>
          <w:color w:val="auto"/>
          <w:sz w:val="18"/>
        </w:rPr>
        <w:t>３　森林の総合利用の推進に関する事項　　　　・・・・・・・・・・・・・・・・・・・・・・・・・・・・・・・・</w:t>
      </w:r>
      <w:r>
        <w:rPr>
          <w:rFonts w:hint="eastAsia" w:ascii="ＭＳ 明朝" w:hAnsi="ＭＳ 明朝"/>
          <w:color w:val="auto"/>
          <w:sz w:val="18"/>
        </w:rPr>
        <w:t>19</w:t>
      </w:r>
    </w:p>
    <w:p>
      <w:pPr>
        <w:pStyle w:val="0"/>
        <w:ind w:firstLine="180" w:firstLineChars="100"/>
        <w:rPr>
          <w:rFonts w:hint="default" w:ascii="ＭＳ 明朝" w:hAnsi="ＭＳ 明朝"/>
          <w:color w:val="auto"/>
          <w:sz w:val="18"/>
        </w:rPr>
      </w:pPr>
      <w:r>
        <w:rPr>
          <w:rFonts w:hint="eastAsia" w:ascii="ＭＳ 明朝" w:hAnsi="ＭＳ 明朝"/>
          <w:color w:val="auto"/>
          <w:sz w:val="18"/>
        </w:rPr>
        <w:t>４　住民参加による森林の整備に関する事項　　　　・・・・・・・・・・・・・・・・・・・・・・・・・・・・・・</w:t>
      </w:r>
      <w:r>
        <w:rPr>
          <w:rFonts w:hint="eastAsia" w:ascii="ＭＳ 明朝" w:hAnsi="ＭＳ 明朝"/>
          <w:color w:val="auto"/>
          <w:sz w:val="18"/>
        </w:rPr>
        <w:t>19</w:t>
      </w:r>
    </w:p>
    <w:p>
      <w:pPr>
        <w:pStyle w:val="0"/>
        <w:ind w:firstLine="180" w:firstLineChars="100"/>
        <w:rPr>
          <w:rFonts w:hint="default" w:ascii="ＭＳ 明朝" w:hAnsi="ＭＳ 明朝"/>
          <w:color w:val="auto"/>
          <w:sz w:val="18"/>
        </w:rPr>
      </w:pPr>
      <w:r>
        <w:rPr>
          <w:rFonts w:hint="eastAsia" w:ascii="ＭＳ 明朝" w:hAnsi="ＭＳ 明朝"/>
          <w:color w:val="auto"/>
          <w:sz w:val="18"/>
        </w:rPr>
        <w:t>５　その他必要な事項　　　　・・・・・・・・・・・・・・・・・・・・・・・・・・・・・・・・・・・・・・・・</w:t>
      </w:r>
      <w:r>
        <w:rPr>
          <w:rFonts w:hint="eastAsia" w:ascii="ＭＳ 明朝" w:hAnsi="ＭＳ 明朝"/>
          <w:color w:val="auto"/>
          <w:sz w:val="18"/>
        </w:rPr>
        <w:t>19</w:t>
      </w:r>
    </w:p>
    <w:p>
      <w:pPr>
        <w:pStyle w:val="15"/>
        <w:rPr>
          <w:rFonts w:hint="default" w:ascii="ＭＳ 明朝" w:hAnsi="ＭＳ 明朝" w:eastAsia="ＭＳ 明朝"/>
          <w:color w:val="auto"/>
          <w:sz w:val="18"/>
        </w:rPr>
      </w:pPr>
    </w:p>
    <w:p>
      <w:pPr>
        <w:pStyle w:val="15"/>
        <w:rPr>
          <w:rFonts w:hint="default" w:ascii="ＭＳ 明朝" w:hAnsi="ＭＳ 明朝" w:eastAsia="ＭＳ 明朝"/>
          <w:color w:val="auto"/>
          <w:sz w:val="18"/>
        </w:rPr>
      </w:pPr>
    </w:p>
    <w:p>
      <w:pPr>
        <w:pStyle w:val="15"/>
        <w:rPr>
          <w:rFonts w:hint="default" w:ascii="ＭＳ 明朝" w:hAnsi="ＭＳ 明朝" w:eastAsia="ＭＳ 明朝"/>
          <w:color w:val="auto"/>
          <w:sz w:val="18"/>
        </w:rPr>
      </w:pPr>
      <w:r>
        <w:rPr>
          <w:rFonts w:hint="eastAsia" w:ascii="ＭＳ 明朝" w:hAnsi="ＭＳ 明朝" w:eastAsia="ＭＳ 明朝"/>
          <w:color w:val="auto"/>
          <w:sz w:val="18"/>
        </w:rPr>
        <w:t>　別表１　公益的機能別施業森林及び木材等生産機能の維持増進を図る森林の区域</w:t>
      </w:r>
    </w:p>
    <w:p>
      <w:pPr>
        <w:pStyle w:val="15"/>
        <w:rPr>
          <w:rFonts w:hint="default" w:ascii="ＭＳ 明朝" w:hAnsi="ＭＳ 明朝" w:eastAsia="ＭＳ 明朝"/>
          <w:color w:val="auto"/>
          <w:sz w:val="18"/>
        </w:rPr>
      </w:pPr>
      <w:r>
        <w:rPr>
          <w:rFonts w:hint="eastAsia" w:ascii="ＭＳ 明朝" w:hAnsi="ＭＳ 明朝" w:eastAsia="ＭＳ 明朝"/>
          <w:color w:val="auto"/>
          <w:sz w:val="18"/>
        </w:rPr>
        <w:t>　別表２　森林施業の方法を特定すべき森林</w:t>
      </w:r>
    </w:p>
    <w:p>
      <w:pPr>
        <w:pStyle w:val="15"/>
        <w:ind w:firstLine="186" w:firstLineChars="100"/>
        <w:rPr>
          <w:rFonts w:hint="default" w:ascii="ＭＳ 明朝" w:hAnsi="ＭＳ 明朝" w:eastAsia="ＭＳ 明朝"/>
          <w:color w:val="auto"/>
          <w:sz w:val="18"/>
        </w:rPr>
      </w:pPr>
      <w:r>
        <w:rPr>
          <w:rFonts w:hint="eastAsia" w:ascii="ＭＳ 明朝" w:hAnsi="ＭＳ 明朝" w:eastAsia="ＭＳ 明朝"/>
          <w:color w:val="auto"/>
          <w:sz w:val="18"/>
        </w:rPr>
        <w:t>別表３　</w:t>
      </w:r>
      <w:r>
        <w:rPr>
          <w:rFonts w:hint="eastAsia" w:ascii="ＭＳ 明朝" w:hAnsi="ＭＳ 明朝" w:eastAsia="ＭＳ 明朝"/>
          <w:color w:val="auto"/>
          <w:sz w:val="18"/>
          <w:u w:val="none" w:color="auto"/>
        </w:rPr>
        <w:t>植栽によらなければ適確な更新が困難な森林の区域</w:t>
      </w:r>
    </w:p>
    <w:p>
      <w:pPr>
        <w:pStyle w:val="15"/>
        <w:rPr>
          <w:rFonts w:hint="default" w:ascii="ＭＳ 明朝" w:hAnsi="ＭＳ 明朝" w:eastAsia="ＭＳ 明朝"/>
          <w:color w:val="auto"/>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strike w:val="1"/>
          <w:spacing w:val="0"/>
        </w:rPr>
        <w:sectPr>
          <w:headerReference r:id="rId6" w:type="default"/>
          <w:footerReference r:id="rId7" w:type="default"/>
          <w:pgSz w:w="11906" w:h="16838"/>
          <w:pgMar w:top="850" w:right="907" w:bottom="850" w:left="907" w:header="720" w:footer="720" w:gutter="0"/>
          <w:pgNumType w:fmt="numberInDash" w:start="1"/>
          <w:cols w:space="720"/>
          <w:noEndnote w:val="1"/>
          <w:titlePg w:val="1"/>
          <w:textDirection w:val="lrTb"/>
          <w:docGrid w:linePitch="286"/>
        </w:sectPr>
      </w:pPr>
      <w:r>
        <w:rPr>
          <w:rFonts w:hint="eastAsia" w:ascii="ＭＳ 明朝" w:hAnsi="ＭＳ 明朝" w:eastAsia="ＭＳ 明朝"/>
          <w:color w:val="auto"/>
        </w:rPr>
        <w:br w:type="page"/>
      </w:r>
    </w:p>
    <w:p>
      <w:pPr>
        <w:pStyle w:val="0"/>
        <w:rPr>
          <w:rFonts w:hint="default" w:ascii="ＭＳ 明朝" w:hAnsi="ＭＳ 明朝"/>
          <w:color w:val="auto"/>
        </w:rPr>
      </w:pPr>
      <w:r>
        <w:rPr>
          <w:rFonts w:hint="eastAsia" w:ascii="ＭＳ 明朝" w:hAnsi="ＭＳ 明朝"/>
          <w:color w:val="auto"/>
        </w:rPr>
        <w:t>Ⅰ　伐採・造林・保育その他森林の整備に関する基本的な事項</w:t>
      </w:r>
    </w:p>
    <w:p>
      <w:pPr>
        <w:pStyle w:val="0"/>
        <w:rPr>
          <w:rFonts w:hint="default" w:ascii="ＭＳ 明朝" w:hAnsi="ＭＳ 明朝"/>
          <w:color w:val="auto"/>
        </w:rPr>
      </w:pPr>
      <w:r>
        <w:rPr>
          <w:rFonts w:hint="eastAsia" w:ascii="ＭＳ 明朝" w:hAnsi="ＭＳ 明朝"/>
          <w:color w:val="auto"/>
        </w:rPr>
        <w:t>第１　伐採・造林・保育その他森林の整備に関する基本的な事項</w:t>
      </w:r>
    </w:p>
    <w:p>
      <w:pPr>
        <w:pStyle w:val="0"/>
        <w:rPr>
          <w:rFonts w:hint="default" w:ascii="ＭＳ 明朝" w:hAnsi="ＭＳ 明朝"/>
          <w:color w:val="auto"/>
        </w:rPr>
      </w:pPr>
      <w:r>
        <w:rPr>
          <w:rFonts w:hint="eastAsia" w:ascii="ＭＳ 明朝" w:hAnsi="ＭＳ 明朝"/>
          <w:color w:val="auto"/>
        </w:rPr>
        <w:t>１　森林整備の現状と課題</w:t>
      </w:r>
    </w:p>
    <w:p>
      <w:pPr>
        <w:pStyle w:val="0"/>
        <w:ind w:left="210" w:hanging="210" w:hangingChars="100"/>
        <w:rPr>
          <w:rFonts w:hint="default" w:ascii="ＭＳ 明朝" w:hAnsi="ＭＳ 明朝"/>
          <w:color w:val="auto"/>
          <w:kern w:val="0"/>
        </w:rPr>
      </w:pPr>
      <w:r>
        <w:rPr>
          <w:rFonts w:hint="eastAsia" w:ascii="ＭＳ 明朝" w:hAnsi="ＭＳ 明朝"/>
          <w:color w:val="auto"/>
        </w:rPr>
        <w:t>　　</w:t>
      </w:r>
      <w:r>
        <w:rPr>
          <w:rFonts w:hint="eastAsia" w:ascii="ＭＳ 明朝" w:hAnsi="ＭＳ 明朝"/>
          <w:color w:val="auto"/>
          <w:kern w:val="0"/>
        </w:rPr>
        <w:t>本村の森</w:t>
      </w:r>
      <w:r>
        <w:rPr>
          <w:rFonts w:hint="eastAsia" w:ascii="ＭＳ 明朝" w:hAnsi="ＭＳ 明朝"/>
          <w:color w:val="auto"/>
        </w:rPr>
        <w:t>林面積は国有林５７１</w:t>
      </w:r>
      <w:r>
        <w:rPr>
          <w:rFonts w:hint="default" w:ascii="ＭＳ 明朝" w:hAnsi="ＭＳ 明朝"/>
          <w:color w:val="auto"/>
        </w:rPr>
        <w:t>ha</w:t>
      </w:r>
      <w:r>
        <w:rPr>
          <w:rFonts w:hint="eastAsia" w:ascii="ＭＳ 明朝" w:hAnsi="ＭＳ 明朝"/>
          <w:color w:val="auto"/>
        </w:rPr>
        <w:t>、民有林２，１１５</w:t>
      </w:r>
      <w:r>
        <w:rPr>
          <w:rFonts w:hint="default" w:ascii="ＭＳ 明朝" w:hAnsi="ＭＳ 明朝"/>
          <w:color w:val="auto"/>
        </w:rPr>
        <w:t>ha</w:t>
      </w:r>
      <w:r>
        <w:rPr>
          <w:rFonts w:hint="eastAsia" w:ascii="ＭＳ 明朝" w:hAnsi="ＭＳ 明朝"/>
          <w:color w:val="auto"/>
        </w:rPr>
        <w:t>の計２，６８６</w:t>
      </w:r>
      <w:r>
        <w:rPr>
          <w:rFonts w:hint="default" w:ascii="ＭＳ 明朝" w:hAnsi="ＭＳ 明朝"/>
          <w:color w:val="auto"/>
        </w:rPr>
        <w:t>ha</w:t>
      </w:r>
      <w:r>
        <w:rPr>
          <w:rFonts w:hint="eastAsia" w:ascii="ＭＳ 明朝" w:hAnsi="ＭＳ 明朝"/>
          <w:color w:val="auto"/>
        </w:rPr>
        <w:t>であり、本村面積（１７，６９０</w:t>
      </w:r>
      <w:r>
        <w:rPr>
          <w:rFonts w:hint="eastAsia" w:ascii="ＭＳ 明朝" w:hAnsi="ＭＳ 明朝"/>
          <w:color w:val="auto"/>
        </w:rPr>
        <w:t>ha</w:t>
      </w:r>
      <w:r>
        <w:rPr>
          <w:rFonts w:hint="default" w:ascii="ＭＳ 明朝" w:hAnsi="ＭＳ 明朝"/>
          <w:color w:val="auto"/>
        </w:rPr>
        <w:t xml:space="preserve"> </w:t>
      </w:r>
      <w:r>
        <w:rPr>
          <w:rFonts w:hint="eastAsia" w:ascii="ＭＳ 明朝" w:hAnsi="ＭＳ 明朝"/>
          <w:color w:val="auto"/>
        </w:rPr>
        <w:t>）の１５．１％を占めています。</w:t>
      </w:r>
    </w:p>
    <w:p>
      <w:pPr>
        <w:pStyle w:val="0"/>
        <w:ind w:left="210" w:leftChars="100" w:firstLine="210" w:firstLineChars="100"/>
        <w:rPr>
          <w:rFonts w:hint="default" w:ascii="ＭＳ 明朝" w:hAnsi="ＭＳ 明朝"/>
          <w:color w:val="auto"/>
          <w:kern w:val="0"/>
        </w:rPr>
      </w:pPr>
      <w:r>
        <w:rPr>
          <w:rFonts w:hint="eastAsia" w:ascii="ＭＳ 明朝" w:hAnsi="ＭＳ 明朝"/>
          <w:color w:val="auto"/>
          <w:kern w:val="0"/>
        </w:rPr>
        <w:t>森林には、木材等の林産物を供給するとともに、耕地防風林による農地の保全、生活環境の保全、さらには、自然との触れあい等の諸機能を総合的かつ高度に発揮させることが求められており、適正な森林施業を積極的に推進する必要があります。</w:t>
      </w:r>
    </w:p>
    <w:p>
      <w:pPr>
        <w:pStyle w:val="0"/>
        <w:ind w:left="210" w:leftChars="100" w:firstLine="210" w:firstLineChars="100"/>
        <w:rPr>
          <w:rFonts w:hint="default" w:ascii="ＭＳ 明朝" w:hAnsi="ＭＳ 明朝"/>
          <w:color w:val="auto"/>
          <w:kern w:val="0"/>
        </w:rPr>
      </w:pPr>
      <w:r>
        <w:rPr>
          <w:rFonts w:hint="eastAsia" w:ascii="ＭＳ 明朝" w:hAnsi="ＭＳ 明朝"/>
          <w:color w:val="auto"/>
          <w:kern w:val="0"/>
        </w:rPr>
        <w:t>人工林については、本村において生育環境が適しているカラマツ並びにアカエゾマツを主体に植栽し、健全な生育と成長及び森林の多様な機能の向上を図るため、保育及び間伐の設定基準に基づいた森林施業を推進します。</w:t>
      </w:r>
    </w:p>
    <w:p>
      <w:pPr>
        <w:pStyle w:val="0"/>
        <w:ind w:left="210" w:hanging="210" w:hangingChars="100"/>
        <w:rPr>
          <w:rFonts w:hint="default" w:ascii="ＭＳ 明朝" w:hAnsi="ＭＳ 明朝"/>
          <w:color w:val="auto"/>
          <w:kern w:val="0"/>
        </w:rPr>
      </w:pPr>
      <w:r>
        <w:rPr>
          <w:rFonts w:hint="eastAsia" w:ascii="ＭＳ 明朝" w:hAnsi="ＭＳ 明朝"/>
          <w:color w:val="auto"/>
          <w:kern w:val="0"/>
        </w:rPr>
        <w:t>　　天然林については、樹種はナラ類が主であり、農用地保護の貴重な資源となっているため、特に積極的施業は実施しませんが保護育成に努めます。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森林整備の基本方針</w:t>
      </w:r>
    </w:p>
    <w:p>
      <w:pPr>
        <w:pStyle w:val="0"/>
        <w:ind w:firstLine="210" w:firstLineChars="100"/>
        <w:rPr>
          <w:rFonts w:hint="default" w:ascii="ＭＳ 明朝" w:hAnsi="ＭＳ 明朝"/>
          <w:color w:val="auto"/>
        </w:rPr>
      </w:pPr>
      <w:r>
        <w:rPr>
          <w:rFonts w:hint="eastAsia" w:ascii="ＭＳ 明朝" w:hAnsi="ＭＳ 明朝"/>
          <w:color w:val="auto"/>
        </w:rPr>
        <w:t>（１）　地域の目指すべき森林資源の姿</w:t>
      </w:r>
    </w:p>
    <w:p>
      <w:pPr>
        <w:pStyle w:val="0"/>
        <w:ind w:left="840" w:leftChars="400" w:firstLine="210" w:firstLineChars="100"/>
        <w:rPr>
          <w:rFonts w:hint="default" w:ascii="ＭＳ 明朝" w:hAnsi="ＭＳ 明朝"/>
          <w:color w:val="auto"/>
        </w:rPr>
      </w:pPr>
      <w:r>
        <w:rPr>
          <w:rFonts w:hint="eastAsia" w:ascii="ＭＳ 明朝" w:hAnsi="ＭＳ 明朝"/>
          <w:color w:val="auto"/>
        </w:rPr>
        <w:t>森林の整備にあたっては、森林の有する多面的機能を総合的かつ高度に発揮させるため、適正な森林施業の面的な実施や森林の保全の確保により健全な森林資源の維持造成を推進します。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その際、生物多様性の保全や地球温暖化の防止に果たす役割はもとより、豪雨の増加等の自然環境の変化、急速な少子高齢化と人口減少、所有者不明森林や整備の行き届いていない森林の存在等の社会的情勢の変化にも配慮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また、近年の森林に対する村民の要請を踏まえ、流域治水とも連携した国土強靱化対策を推進するとともに、航空レーザ測量等のリモートセンシングによる高精度な森林資源情報や詳細な地形情報の整備により、現地調査の省力化や適切な伐採区域の設定、林道等の路網整備の効率化、崩壊リスクが高い箇所における効果的な治山施設の配置等を推進することとします。あわせて、シカ等による森林被害も含めた森林の状況を適確に把握するための森林資源のモニタリングの継続的な実施や森林ＧＩＳの効果的な活用を図ることとします。</w:t>
      </w:r>
    </w:p>
    <w:p>
      <w:pPr>
        <w:pStyle w:val="0"/>
        <w:ind w:firstLine="210" w:firstLineChars="100"/>
        <w:rPr>
          <w:rFonts w:hint="default" w:ascii="ＭＳ 明朝" w:hAnsi="ＭＳ 明朝"/>
          <w:color w:val="auto"/>
        </w:rPr>
      </w:pPr>
      <w:r>
        <w:rPr>
          <w:rFonts w:hint="eastAsia" w:ascii="ＭＳ 明朝" w:hAnsi="ＭＳ 明朝"/>
          <w:color w:val="auto"/>
        </w:rPr>
        <w:t>（２）　森林整備の基本的な考え方及び森林施業の推進方策</w:t>
      </w:r>
    </w:p>
    <w:p>
      <w:pPr>
        <w:pStyle w:val="0"/>
        <w:ind w:left="840" w:leftChars="400" w:firstLine="210" w:firstLineChars="100"/>
        <w:rPr>
          <w:rFonts w:hint="default" w:ascii="ＭＳ 明朝" w:hAnsi="ＭＳ 明朝"/>
          <w:color w:val="auto"/>
        </w:rPr>
      </w:pPr>
      <w:r>
        <w:rPr>
          <w:rFonts w:hint="eastAsia" w:ascii="ＭＳ 明朝" w:hAnsi="ＭＳ 明朝"/>
          <w:color w:val="auto"/>
        </w:rPr>
        <w:t>本村における森林について、地域ごとの特性や自然的条件及び社会的要請を総合的に勘案し、それぞれの森林が特に発揮することを期待されている機能に応じ、森林の有する公益的機能の維持増進を図るべき森林としての公益的機能別施業森林と、木材等生産機能の維持増進を図る森林（以下「木材等生産林」という。）の区域を設定します。</w:t>
      </w:r>
    </w:p>
    <w:p>
      <w:pPr>
        <w:pStyle w:val="0"/>
        <w:spacing w:line="320" w:lineRule="exact"/>
        <w:ind w:left="840" w:leftChars="400" w:firstLine="210" w:firstLineChars="100"/>
        <w:rPr>
          <w:rFonts w:hint="default" w:ascii="ＭＳ 明朝" w:hAnsi="ＭＳ 明朝"/>
          <w:color w:val="auto"/>
        </w:rPr>
      </w:pPr>
      <w:r>
        <w:rPr>
          <w:rFonts w:hint="eastAsia" w:ascii="ＭＳ 明朝" w:hAnsi="ＭＳ 明朝"/>
          <w:color w:val="auto"/>
        </w:rPr>
        <w:t>公益的機能別施業森林については、水源</w:t>
      </w:r>
      <w:r>
        <w:rPr>
          <w:rFonts w:hint="eastAsia" w:ascii="ＭＳ 明朝" w:hAnsi="ＭＳ 明朝"/>
          <w:color w:val="auto"/>
        </w:rPr>
        <w:fldChar w:fldCharType="begin"/>
      </w:r>
      <w:r>
        <w:rPr>
          <w:rFonts w:hint="eastAsia" w:ascii="ＭＳ 明朝" w:hAnsi="ＭＳ 明朝"/>
          <w:color w:val="auto"/>
        </w:rPr>
        <w:instrText>EQ \* jc2 \* hps10 \o\ad(\s\up 9(</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rPr>
        <w:instrText>),</w:instrText>
      </w:r>
      <w:r>
        <w:rPr>
          <w:rFonts w:hint="eastAsia" w:ascii="ＭＳ 明朝" w:hAnsi="ＭＳ 明朝"/>
          <w:color w:val="auto"/>
        </w:rPr>
        <w:instrText>涵</w:instrText>
      </w:r>
      <w:r>
        <w:rPr>
          <w:rFonts w:hint="eastAsia" w:ascii="ＭＳ 明朝" w:hAnsi="ＭＳ 明朝"/>
          <w:color w:val="auto"/>
        </w:rPr>
        <w:instrText>)</w:instrText>
      </w:r>
      <w:r>
        <w:rPr>
          <w:rFonts w:hint="eastAsia" w:ascii="ＭＳ 明朝" w:hAnsi="ＭＳ 明朝"/>
          <w:color w:val="auto"/>
        </w:rPr>
        <w:fldChar w:fldCharType="end"/>
      </w:r>
      <w:r>
        <w:rPr>
          <w:rFonts w:hint="eastAsia" w:ascii="ＭＳ 明朝" w:hAnsi="ＭＳ 明朝"/>
          <w:color w:val="auto"/>
        </w:rPr>
        <w:t>養機能の維持増進を図る森林について「水源</w:t>
      </w:r>
      <w:r>
        <w:rPr>
          <w:rFonts w:hint="eastAsia" w:ascii="ＭＳ 明朝" w:hAnsi="ＭＳ 明朝"/>
          <w:color w:val="auto"/>
        </w:rPr>
        <w:fldChar w:fldCharType="begin"/>
      </w:r>
      <w:r>
        <w:rPr>
          <w:rFonts w:hint="eastAsia" w:ascii="ＭＳ 明朝" w:hAnsi="ＭＳ 明朝"/>
          <w:color w:val="auto"/>
        </w:rPr>
        <w:instrText>EQ \* jc2 \* hps10 \o\ad(\s\up 9(</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rPr>
        <w:instrText>),</w:instrText>
      </w:r>
      <w:r>
        <w:rPr>
          <w:rFonts w:hint="eastAsia" w:ascii="ＭＳ 明朝" w:hAnsi="ＭＳ 明朝"/>
          <w:color w:val="auto"/>
        </w:rPr>
        <w:instrText>涵</w:instrText>
      </w:r>
      <w:r>
        <w:rPr>
          <w:rFonts w:hint="eastAsia" w:ascii="ＭＳ 明朝" w:hAnsi="ＭＳ 明朝"/>
          <w:color w:val="auto"/>
        </w:rPr>
        <w:instrText>)</w:instrText>
      </w:r>
      <w:r>
        <w:rPr>
          <w:rFonts w:hint="eastAsia" w:ascii="ＭＳ 明朝" w:hAnsi="ＭＳ 明朝"/>
          <w:color w:val="auto"/>
        </w:rPr>
        <w:fldChar w:fldCharType="end"/>
      </w:r>
      <w:r>
        <w:rPr>
          <w:rFonts w:hint="eastAsia" w:ascii="ＭＳ 明朝" w:hAnsi="ＭＳ 明朝"/>
          <w:color w:val="auto"/>
        </w:rPr>
        <w:t>養林」、山地災害防止機能や土壌保全機能の維持増進を図る森林について「山地災害防止林」、住民にとって快適な環境を形成する機能の維持増進を図る森林について「農村環境保全林（更別村独自ゾーン）」、保健・レクリエーション機能や文化機能の維持増進を図る森林について「保健・文化機能等維持林」の区域（以下「森林の区域」という。）を設定します。</w:t>
      </w:r>
    </w:p>
    <w:p>
      <w:pPr>
        <w:pStyle w:val="0"/>
        <w:spacing w:line="320" w:lineRule="exact"/>
        <w:ind w:left="840" w:leftChars="400" w:firstLine="210" w:firstLineChars="100"/>
        <w:rPr>
          <w:rFonts w:hint="default" w:ascii="ＭＳ 明朝" w:hAnsi="ＭＳ 明朝"/>
          <w:color w:val="auto"/>
        </w:rPr>
      </w:pPr>
      <w:r>
        <w:rPr>
          <w:rFonts w:hint="eastAsia" w:ascii="ＭＳ 明朝" w:hAnsi="ＭＳ 明朝"/>
          <w:color w:val="auto"/>
        </w:rPr>
        <w:t>さらに、水源</w:t>
      </w:r>
      <w:r>
        <w:rPr>
          <w:rFonts w:hint="eastAsia" w:ascii="ＭＳ 明朝" w:hAnsi="ＭＳ 明朝"/>
          <w:color w:val="auto"/>
        </w:rPr>
        <w:fldChar w:fldCharType="begin"/>
      </w:r>
      <w:r>
        <w:rPr>
          <w:rFonts w:hint="eastAsia" w:ascii="ＭＳ 明朝" w:hAnsi="ＭＳ 明朝"/>
          <w:color w:val="auto"/>
        </w:rPr>
        <w:instrText>EQ \* jc2 \* hps10 \o\ad(\s\up 9(</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rPr>
        <w:instrText>),</w:instrText>
      </w:r>
      <w:r>
        <w:rPr>
          <w:rFonts w:hint="eastAsia" w:ascii="ＭＳ 明朝" w:hAnsi="ＭＳ 明朝"/>
          <w:color w:val="auto"/>
        </w:rPr>
        <w:instrText>涵</w:instrText>
      </w:r>
      <w:r>
        <w:rPr>
          <w:rFonts w:hint="eastAsia" w:ascii="ＭＳ 明朝" w:hAnsi="ＭＳ 明朝"/>
          <w:color w:val="auto"/>
        </w:rPr>
        <w:instrText>)</w:instrText>
      </w:r>
      <w:r>
        <w:rPr>
          <w:rFonts w:hint="eastAsia" w:ascii="ＭＳ 明朝" w:hAnsi="ＭＳ 明朝"/>
          <w:color w:val="auto"/>
        </w:rPr>
        <w:fldChar w:fldCharType="end"/>
      </w:r>
      <w:r>
        <w:rPr>
          <w:rFonts w:hint="eastAsia" w:ascii="ＭＳ 明朝" w:hAnsi="ＭＳ 明朝"/>
          <w:color w:val="auto"/>
        </w:rPr>
        <w:t>養林においては、水道取水施設上部に位置し、水資源の安定供給のために特に保全が求められる森林について「水資源保全ゾーン」に、また保健・文化機能等維持林においては、河川や湖沼周辺に位置し生物多様生機能の発揮のために特に保全が求められる森林について「生物多様性ゾーン（水辺林タイプ）」及び貴重な森林生態系を維持し、特に保全が求められる森林について「生物多様性ゾーン（保護地域タイプ）」を、「木材等生産林」においては、森林資源の保続に配慮しつつ、多様な木材需要に応じた持続的、安定的な木材生産を可能とするため、伐採後に原則、植栽による更新を行う森林について「特に効率的な施業が可能な森林」をそれぞれの区域の中で重ねて設定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この森林の区域に応じた望ましい森林の姿へ誘導するため、育成単層林における適確な更新や保育・間伐の積極的な推進、広葉樹林化・針広混交林化を含め、人為と天然力を適切に組み合わせた多様性に富む育成複層林の計画的な整備、天然生林の的確な保全・管理等に加え、保安林制度の適切な運用、山地災害や野生鳥獣被害等の防止対策の推進等により、発揮を期待する機能に応じた多様な森林の整備を図ることと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また、林道等の林内路網は、効率的な森林施業や森林の適正な管理運営に必要不可欠であり、山村地域の振興にも資することから、計画的な路網整備に努めることとします。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なお、森林の区域ごとの望ましい森林の姿並びに森林の整備及び保全の基本方針は次のとおりとします。</w:t>
      </w:r>
    </w:p>
    <w:p>
      <w:pPr>
        <w:pStyle w:val="0"/>
        <w:ind w:left="840" w:leftChars="400" w:firstLine="210" w:firstLineChars="100"/>
        <w:rPr>
          <w:rFonts w:hint="default" w:ascii="ＭＳ 明朝" w:hAnsi="ＭＳ 明朝"/>
          <w:color w:val="auto"/>
        </w:rPr>
      </w:pPr>
    </w:p>
    <w:p>
      <w:pPr>
        <w:pStyle w:val="22"/>
        <w:ind w:leftChars="0"/>
        <w:rPr>
          <w:rFonts w:hint="default" w:ascii="ＭＳ 明朝" w:hAnsi="ＭＳ 明朝"/>
          <w:color w:val="auto"/>
        </w:rPr>
      </w:pPr>
    </w:p>
    <w:p>
      <w:pPr>
        <w:pStyle w:val="0"/>
        <w:rPr>
          <w:rFonts w:hint="default" w:ascii="ＭＳ 明朝" w:hAnsi="ＭＳ 明朝"/>
          <w:color w:val="auto"/>
          <w:kern w:val="0"/>
        </w:rPr>
      </w:pPr>
      <w:r>
        <w:rPr>
          <w:rFonts w:hint="default" w:ascii="ＭＳ 明朝" w:hAnsi="ＭＳ 明朝"/>
          <w:color w:val="auto"/>
        </w:rPr>
        <w:br w:type="page"/>
      </w:r>
      <w:r>
        <w:rPr>
          <w:rFonts w:hint="eastAsia" w:ascii="ＭＳ 明朝" w:hAnsi="ＭＳ 明朝"/>
          <w:color w:val="auto"/>
          <w:kern w:val="0"/>
        </w:rPr>
        <w:t>【森林の区域ごとの望ましい森林の姿並びに森林の整備及び保全の基本方針】</w:t>
      </w:r>
    </w:p>
    <w:p>
      <w:pPr>
        <w:pStyle w:val="0"/>
        <w:rPr>
          <w:rFonts w:hint="default" w:ascii="ＭＳ 明朝" w:hAnsi="ＭＳ 明朝"/>
          <w:color w:val="auto"/>
        </w:rPr>
      </w:pPr>
      <w:r>
        <w:rPr>
          <w:rFonts w:hint="eastAsia" w:ascii="ＭＳ 明朝" w:hAnsi="ＭＳ 明朝"/>
          <w:color w:val="auto"/>
        </w:rPr>
        <w:t>公益的機能別施業森林</w:t>
      </w:r>
    </w:p>
    <w:tbl>
      <w:tblPr>
        <w:tblStyle w:val="11"/>
        <w:tblW w:w="978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3"/>
        <w:gridCol w:w="260"/>
        <w:gridCol w:w="23"/>
        <w:gridCol w:w="426"/>
        <w:gridCol w:w="567"/>
        <w:gridCol w:w="3363"/>
        <w:gridCol w:w="4149"/>
      </w:tblGrid>
      <w:tr>
        <w:trPr>
          <w:trHeight w:val="553" w:hRule="atLeast"/>
        </w:trPr>
        <w:tc>
          <w:tcPr>
            <w:tcW w:w="993" w:type="dxa"/>
            <w:vAlign w:val="center"/>
          </w:tcPr>
          <w:p>
            <w:pPr>
              <w:pStyle w:val="22"/>
              <w:ind w:left="0" w:leftChars="0"/>
              <w:jc w:val="center"/>
              <w:rPr>
                <w:rFonts w:hint="default" w:ascii="ＭＳ 明朝" w:hAnsi="ＭＳ 明朝"/>
                <w:color w:val="auto"/>
                <w:sz w:val="14"/>
              </w:rPr>
            </w:pPr>
            <w:r>
              <w:rPr>
                <w:rFonts w:hint="eastAsia" w:ascii="ＭＳ 明朝" w:hAnsi="ＭＳ 明朝"/>
                <w:color w:val="auto"/>
                <w:sz w:val="14"/>
              </w:rPr>
              <w:t>発揮を期待する機能</w:t>
            </w:r>
          </w:p>
        </w:tc>
        <w:tc>
          <w:tcPr>
            <w:tcW w:w="1276" w:type="dxa"/>
            <w:gridSpan w:val="4"/>
            <w:vAlign w:val="center"/>
          </w:tcPr>
          <w:p>
            <w:pPr>
              <w:pStyle w:val="22"/>
              <w:ind w:left="0" w:leftChars="0"/>
              <w:jc w:val="center"/>
              <w:rPr>
                <w:rFonts w:hint="default" w:ascii="ＭＳ 明朝" w:hAnsi="ＭＳ 明朝"/>
                <w:color w:val="auto"/>
                <w:sz w:val="14"/>
              </w:rPr>
            </w:pPr>
            <w:r>
              <w:rPr>
                <w:rFonts w:hint="eastAsia" w:ascii="ＭＳ 明朝" w:hAnsi="ＭＳ 明朝"/>
                <w:color w:val="auto"/>
                <w:sz w:val="14"/>
              </w:rPr>
              <w:t>森林の区域</w:t>
            </w:r>
          </w:p>
        </w:tc>
        <w:tc>
          <w:tcPr>
            <w:tcW w:w="3363" w:type="dxa"/>
            <w:vAlign w:val="center"/>
          </w:tcPr>
          <w:p>
            <w:pPr>
              <w:pStyle w:val="22"/>
              <w:ind w:left="0" w:leftChars="0"/>
              <w:jc w:val="center"/>
              <w:rPr>
                <w:rFonts w:hint="default" w:ascii="ＭＳ 明朝" w:hAnsi="ＭＳ 明朝"/>
                <w:color w:val="auto"/>
                <w:sz w:val="14"/>
              </w:rPr>
            </w:pPr>
            <w:r>
              <w:rPr>
                <w:rFonts w:hint="eastAsia" w:ascii="ＭＳ 明朝" w:hAnsi="ＭＳ 明朝"/>
                <w:color w:val="auto"/>
                <w:sz w:val="14"/>
              </w:rPr>
              <w:t>望ましい森林の姿</w:t>
            </w:r>
          </w:p>
        </w:tc>
        <w:tc>
          <w:tcPr>
            <w:tcW w:w="4149" w:type="dxa"/>
            <w:vAlign w:val="center"/>
          </w:tcPr>
          <w:p>
            <w:pPr>
              <w:pStyle w:val="22"/>
              <w:ind w:left="0" w:leftChars="0"/>
              <w:jc w:val="center"/>
              <w:rPr>
                <w:rFonts w:hint="default" w:ascii="ＭＳ 明朝" w:hAnsi="ＭＳ 明朝"/>
                <w:color w:val="auto"/>
                <w:sz w:val="14"/>
              </w:rPr>
            </w:pPr>
            <w:r>
              <w:rPr>
                <w:rFonts w:hint="eastAsia" w:ascii="ＭＳ 明朝" w:hAnsi="ＭＳ 明朝"/>
                <w:color w:val="auto"/>
                <w:sz w:val="14"/>
              </w:rPr>
              <w:t>森林の整備及び保全の基本方針</w:t>
            </w:r>
          </w:p>
        </w:tc>
      </w:tr>
      <w:tr>
        <w:trPr>
          <w:trHeight w:val="1078" w:hRule="atLeast"/>
        </w:trPr>
        <w:tc>
          <w:tcPr>
            <w:tcW w:w="993" w:type="dxa"/>
            <w:vMerge w:val="restart"/>
            <w:vAlign w:val="top"/>
          </w:tcPr>
          <w:p>
            <w:pPr>
              <w:pStyle w:val="22"/>
              <w:ind w:left="0" w:leftChars="0"/>
              <w:rPr>
                <w:rFonts w:hint="default" w:ascii="ＭＳ 明朝" w:hAnsi="ＭＳ 明朝"/>
                <w:color w:val="auto"/>
                <w:sz w:val="14"/>
              </w:rPr>
            </w:pPr>
            <w:r>
              <w:rPr>
                <w:rFonts w:hint="eastAsia" w:ascii="ＭＳ 明朝" w:hAnsi="ＭＳ 明朝"/>
                <w:color w:val="auto"/>
                <w:sz w:val="14"/>
              </w:rPr>
              <w:t>水源</w:t>
            </w:r>
            <w:r>
              <w:rPr>
                <w:rFonts w:hint="eastAsia" w:ascii="ＭＳ 明朝" w:hAnsi="ＭＳ 明朝"/>
                <w:color w:val="auto"/>
                <w:sz w:val="14"/>
              </w:rPr>
              <w:fldChar w:fldCharType="begin"/>
            </w:r>
            <w:r>
              <w:rPr>
                <w:rFonts w:hint="eastAsia" w:ascii="ＭＳ 明朝" w:hAnsi="ＭＳ 明朝"/>
                <w:color w:val="auto"/>
                <w:sz w:val="14"/>
              </w:rPr>
              <w:instrText>EQ \* jc1 \* hps10 \o\ad(\s\up 6(</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sz w:val="14"/>
              </w:rPr>
              <w:instrText>),</w:instrText>
            </w:r>
            <w:r>
              <w:rPr>
                <w:rFonts w:hint="eastAsia" w:ascii="ＭＳ 明朝" w:hAnsi="ＭＳ 明朝"/>
                <w:color w:val="auto"/>
                <w:sz w:val="14"/>
              </w:rPr>
              <w:instrText>涵</w:instrText>
            </w:r>
            <w:r>
              <w:rPr>
                <w:rFonts w:hint="eastAsia" w:ascii="ＭＳ 明朝" w:hAnsi="ＭＳ 明朝"/>
                <w:color w:val="auto"/>
                <w:sz w:val="14"/>
              </w:rPr>
              <w:instrText>)</w:instrText>
            </w:r>
            <w:r>
              <w:rPr>
                <w:rFonts w:hint="eastAsia" w:ascii="ＭＳ 明朝" w:hAnsi="ＭＳ 明朝"/>
                <w:color w:val="auto"/>
                <w:sz w:val="14"/>
              </w:rPr>
              <w:fldChar w:fldCharType="end"/>
            </w:r>
            <w:r>
              <w:rPr>
                <w:rFonts w:hint="eastAsia" w:ascii="ＭＳ 明朝" w:hAnsi="ＭＳ 明朝"/>
                <w:color w:val="auto"/>
                <w:sz w:val="14"/>
              </w:rPr>
              <w:t>養機能</w:t>
            </w:r>
          </w:p>
        </w:tc>
        <w:tc>
          <w:tcPr>
            <w:tcW w:w="127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22"/>
              <w:ind w:left="0" w:leftChars="0"/>
              <w:rPr>
                <w:rFonts w:hint="default" w:ascii="ＭＳ 明朝" w:hAnsi="ＭＳ 明朝"/>
                <w:color w:val="auto"/>
                <w:sz w:val="14"/>
              </w:rPr>
            </w:pPr>
            <w:r>
              <w:rPr>
                <w:rFonts w:hint="eastAsia" w:ascii="ＭＳ 明朝" w:hAnsi="ＭＳ 明朝"/>
                <w:color w:val="auto"/>
                <w:sz w:val="14"/>
              </w:rPr>
              <w:t>水源</w:t>
            </w:r>
            <w:r>
              <w:rPr>
                <w:rFonts w:hint="eastAsia" w:ascii="ＭＳ 明朝" w:hAnsi="ＭＳ 明朝"/>
                <w:color w:val="auto"/>
                <w:sz w:val="14"/>
              </w:rPr>
              <w:fldChar w:fldCharType="begin"/>
            </w:r>
            <w:r>
              <w:rPr>
                <w:rFonts w:hint="eastAsia" w:ascii="ＭＳ 明朝" w:hAnsi="ＭＳ 明朝"/>
                <w:color w:val="auto"/>
                <w:sz w:val="14"/>
              </w:rPr>
              <w:instrText>EQ \* jc1 \* hps10 \o\ad(\s\up 6(</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sz w:val="14"/>
              </w:rPr>
              <w:instrText>),</w:instrText>
            </w:r>
            <w:r>
              <w:rPr>
                <w:rFonts w:hint="eastAsia" w:ascii="ＭＳ 明朝" w:hAnsi="ＭＳ 明朝"/>
                <w:color w:val="auto"/>
                <w:sz w:val="14"/>
              </w:rPr>
              <w:instrText>涵</w:instrText>
            </w:r>
            <w:r>
              <w:rPr>
                <w:rFonts w:hint="eastAsia" w:ascii="ＭＳ 明朝" w:hAnsi="ＭＳ 明朝"/>
                <w:color w:val="auto"/>
                <w:sz w:val="14"/>
              </w:rPr>
              <w:instrText>)</w:instrText>
            </w:r>
            <w:r>
              <w:rPr>
                <w:rFonts w:hint="eastAsia" w:ascii="ＭＳ 明朝" w:hAnsi="ＭＳ 明朝"/>
                <w:color w:val="auto"/>
                <w:sz w:val="14"/>
              </w:rPr>
              <w:fldChar w:fldCharType="end"/>
            </w:r>
            <w:r>
              <w:rPr>
                <w:rFonts w:hint="eastAsia" w:ascii="ＭＳ 明朝" w:hAnsi="ＭＳ 明朝"/>
                <w:color w:val="auto"/>
                <w:sz w:val="14"/>
              </w:rPr>
              <w:t>養林</w:t>
            </w:r>
          </w:p>
          <w:p>
            <w:pPr>
              <w:pStyle w:val="22"/>
              <w:ind w:left="0" w:leftChars="0"/>
              <w:rPr>
                <w:rFonts w:hint="default" w:ascii="ＭＳ 明朝" w:hAnsi="ＭＳ 明朝"/>
                <w:color w:val="auto"/>
                <w:sz w:val="14"/>
              </w:rPr>
            </w:pPr>
          </w:p>
        </w:tc>
        <w:tc>
          <w:tcPr>
            <w:tcW w:w="3363"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下層植生とともに樹木の根が発達することにより、水を蓄える隙間に富んだ浸透・保水能力の高い森林土壌を有する森林であって、必要に応じて浸透を促進する施設等が整備されている森林。</w:t>
            </w:r>
          </w:p>
        </w:tc>
        <w:tc>
          <w:tcPr>
            <w:tcW w:w="4149"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良質な水の安定供給を確保する観点から、適切な保育・間伐を促進しつつ、下層植生や樹木の根を発達させる施業を行うとともに、伐採に伴って発生する裸地の縮小及び分散を図る施業を推進する。</w:t>
            </w:r>
          </w:p>
        </w:tc>
      </w:tr>
      <w:tr>
        <w:trPr>
          <w:cantSplit/>
          <w:trHeight w:val="900" w:hRule="atLeast"/>
        </w:trPr>
        <w:tc>
          <w:tcPr>
            <w:tcW w:w="993" w:type="dxa"/>
            <w:vMerge w:val="continue"/>
            <w:vAlign w:val="top"/>
          </w:tcPr>
          <w:p>
            <w:pPr>
              <w:pStyle w:val="22"/>
              <w:ind w:left="0" w:leftChars="0"/>
              <w:rPr>
                <w:rFonts w:hint="default" w:ascii="ＭＳ 明朝" w:hAnsi="ＭＳ 明朝"/>
                <w:sz w:val="14"/>
              </w:rPr>
            </w:pPr>
          </w:p>
        </w:tc>
        <w:tc>
          <w:tcPr>
            <w:tcW w:w="26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22"/>
              <w:rPr>
                <w:rFonts w:hint="default" w:ascii="ＭＳ 明朝" w:hAnsi="ＭＳ 明朝"/>
                <w:color w:val="auto"/>
                <w:sz w:val="14"/>
              </w:rPr>
            </w:pPr>
          </w:p>
        </w:tc>
        <w:tc>
          <w:tcPr>
            <w:tcW w:w="1016" w:type="dxa"/>
            <w:gridSpan w:val="3"/>
            <w:vAlign w:val="top"/>
          </w:tcPr>
          <w:p>
            <w:pPr>
              <w:pStyle w:val="22"/>
              <w:ind w:left="0" w:leftChars="0"/>
              <w:rPr>
                <w:rFonts w:hint="default" w:ascii="ＭＳ 明朝" w:hAnsi="ＭＳ 明朝"/>
                <w:color w:val="auto"/>
                <w:sz w:val="14"/>
              </w:rPr>
            </w:pPr>
            <w:r>
              <w:rPr>
                <w:rFonts w:hint="eastAsia" w:ascii="ＭＳ 明朝" w:hAnsi="ＭＳ 明朝"/>
                <w:color w:val="auto"/>
                <w:sz w:val="14"/>
              </w:rPr>
              <w:t>水資源保全ゾーン</w:t>
            </w:r>
          </w:p>
        </w:tc>
        <w:tc>
          <w:tcPr>
            <w:tcW w:w="3363"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下層植生とともに樹木の根が発達することにより、水を蓄える隙間に富んだ浸透・保水能力の高い森林土壌を有する森林で、多様な樹種構成及び樹齢からなる森林。</w:t>
            </w:r>
          </w:p>
        </w:tc>
        <w:tc>
          <w:tcPr>
            <w:tcW w:w="4149"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良質な水の安定供給を特に確保する観点から、伐採に伴って発生する裸地の縮小及び分散、植栽による機能の早期回復並びに濁水発生回避を図る施業を推進する。</w:t>
            </w:r>
          </w:p>
        </w:tc>
      </w:tr>
      <w:tr>
        <w:trPr>
          <w:trHeight w:val="1428" w:hRule="atLeast"/>
        </w:trPr>
        <w:tc>
          <w:tcPr>
            <w:tcW w:w="993" w:type="dxa"/>
            <w:vAlign w:val="top"/>
          </w:tcPr>
          <w:p>
            <w:pPr>
              <w:pStyle w:val="22"/>
              <w:ind w:left="0" w:leftChars="0"/>
              <w:rPr>
                <w:rFonts w:hint="default" w:ascii="ＭＳ 明朝" w:hAnsi="ＭＳ 明朝"/>
                <w:color w:val="auto"/>
                <w:sz w:val="14"/>
              </w:rPr>
            </w:pPr>
            <w:r>
              <w:rPr>
                <w:rFonts w:hint="eastAsia" w:ascii="ＭＳ 明朝" w:hAnsi="ＭＳ 明朝"/>
                <w:color w:val="auto"/>
                <w:sz w:val="14"/>
              </w:rPr>
              <w:t>山地災害防止機能／土壌保全機能</w:t>
            </w:r>
          </w:p>
        </w:tc>
        <w:tc>
          <w:tcPr>
            <w:tcW w:w="1276" w:type="dxa"/>
            <w:gridSpan w:val="4"/>
            <w:vAlign w:val="top"/>
          </w:tcPr>
          <w:p>
            <w:pPr>
              <w:pStyle w:val="22"/>
              <w:ind w:left="0" w:leftChars="0"/>
              <w:rPr>
                <w:rFonts w:hint="default" w:ascii="ＭＳ 明朝" w:hAnsi="ＭＳ 明朝"/>
                <w:color w:val="auto"/>
                <w:sz w:val="14"/>
              </w:rPr>
            </w:pPr>
            <w:r>
              <w:rPr>
                <w:rFonts w:hint="eastAsia" w:ascii="ＭＳ 明朝" w:hAnsi="ＭＳ 明朝"/>
                <w:color w:val="auto"/>
                <w:sz w:val="14"/>
              </w:rPr>
              <w:t>山地災害防止林</w:t>
            </w:r>
          </w:p>
        </w:tc>
        <w:tc>
          <w:tcPr>
            <w:tcW w:w="3363"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下層植生が生育するための空間が確保され、適度な光が差し込み、下層植生とともに樹木の根が深く広く発達し土壌を保持する能力に優れた森林であって、必要に応じて山地災害を防ぐ施設等が整備されている森林。</w:t>
            </w:r>
          </w:p>
        </w:tc>
        <w:tc>
          <w:tcPr>
            <w:tcW w:w="4149"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災害に強い地域環境を形成する観点から、地形、地質等の条件を考慮した上で、林床の裸地化の縮小及び回避を推進する。</w:t>
            </w:r>
          </w:p>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また、保安林の指定及びその適切な管理を推進するとともに、渓岸の侵食防止や山脚の固定等を図る必要がある場合には、谷止めや土留等の施設の設置を推進する。</w:t>
            </w:r>
          </w:p>
        </w:tc>
      </w:tr>
      <w:tr>
        <w:trPr>
          <w:trHeight w:val="1371" w:hRule="atLeast"/>
        </w:trPr>
        <w:tc>
          <w:tcPr>
            <w:tcW w:w="993" w:type="dxa"/>
            <w:vAlign w:val="top"/>
          </w:tcPr>
          <w:p>
            <w:pPr>
              <w:pStyle w:val="22"/>
              <w:ind w:left="0" w:leftChars="0"/>
              <w:rPr>
                <w:rFonts w:hint="default" w:ascii="ＭＳ 明朝" w:hAnsi="ＭＳ 明朝"/>
                <w:color w:val="auto"/>
                <w:sz w:val="14"/>
              </w:rPr>
            </w:pPr>
            <w:r>
              <w:rPr>
                <w:rFonts w:hint="eastAsia" w:ascii="ＭＳ 明朝" w:hAnsi="ＭＳ 明朝"/>
                <w:color w:val="auto"/>
                <w:sz w:val="14"/>
              </w:rPr>
              <w:t>快適環境形成機能</w:t>
            </w:r>
          </w:p>
        </w:tc>
        <w:tc>
          <w:tcPr>
            <w:tcW w:w="1276" w:type="dxa"/>
            <w:gridSpan w:val="4"/>
            <w:vAlign w:val="top"/>
          </w:tcPr>
          <w:p>
            <w:pPr>
              <w:pStyle w:val="22"/>
              <w:ind w:left="0" w:leftChars="0"/>
              <w:rPr>
                <w:rFonts w:hint="default" w:ascii="ＭＳ 明朝" w:hAnsi="ＭＳ 明朝"/>
                <w:color w:val="auto"/>
                <w:sz w:val="14"/>
              </w:rPr>
            </w:pPr>
            <w:r>
              <w:rPr>
                <w:rFonts w:hint="eastAsia" w:ascii="ＭＳ 明朝" w:hAnsi="ＭＳ 明朝"/>
                <w:color w:val="auto"/>
                <w:sz w:val="14"/>
              </w:rPr>
              <w:t>農村環境保全林</w:t>
            </w:r>
          </w:p>
          <w:p>
            <w:pPr>
              <w:pStyle w:val="22"/>
              <w:ind w:left="0" w:leftChars="0"/>
              <w:rPr>
                <w:rFonts w:hint="default" w:ascii="ＭＳ 明朝" w:hAnsi="ＭＳ 明朝"/>
                <w:color w:val="auto"/>
                <w:sz w:val="14"/>
              </w:rPr>
            </w:pPr>
            <w:r>
              <w:rPr>
                <w:rFonts w:hint="eastAsia" w:ascii="ＭＳ 明朝" w:hAnsi="ＭＳ 明朝"/>
                <w:color w:val="auto"/>
                <w:sz w:val="14"/>
              </w:rPr>
              <w:t>（更別村独自ゾーン）</w:t>
            </w:r>
          </w:p>
        </w:tc>
        <w:tc>
          <w:tcPr>
            <w:tcW w:w="3363"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樹高が高く枝葉が多く茂っているなど、遮蔽能力や汚染物質の吸着能力が高く、諸被害に対する抵抗性が高い森林。</w:t>
            </w:r>
          </w:p>
        </w:tc>
        <w:tc>
          <w:tcPr>
            <w:tcW w:w="4149"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地域の快適な生活環境を保全する観点から、風や騒音等の防備や大気の浄化のために有効な森林の構成の維持を基本とし、快適な生活環境の保全のための保安林の指定やその適切な管理防風・防潮に重要な役割を果たしている海岸林等の保全を推進する。</w:t>
            </w:r>
          </w:p>
        </w:tc>
      </w:tr>
      <w:tr>
        <w:trPr>
          <w:trHeight w:val="3224" w:hRule="atLeast"/>
        </w:trPr>
        <w:tc>
          <w:tcPr>
            <w:tcW w:w="993" w:type="dxa"/>
            <w:vMerge w:val="restart"/>
            <w:vAlign w:val="top"/>
          </w:tcPr>
          <w:p>
            <w:pPr>
              <w:pStyle w:val="22"/>
              <w:ind w:left="0" w:leftChars="0"/>
              <w:rPr>
                <w:rFonts w:hint="default" w:ascii="ＭＳ 明朝" w:hAnsi="ＭＳ 明朝"/>
                <w:color w:val="auto"/>
                <w:sz w:val="14"/>
              </w:rPr>
            </w:pPr>
            <w:r>
              <w:rPr>
                <w:rFonts w:hint="eastAsia" w:ascii="ＭＳ 明朝" w:hAnsi="ＭＳ 明朝"/>
                <w:color w:val="auto"/>
                <w:sz w:val="14"/>
              </w:rPr>
              <w:t>保健・レクリエーション機能</w:t>
            </w:r>
          </w:p>
          <w:p>
            <w:pPr>
              <w:pStyle w:val="22"/>
              <w:ind w:left="0" w:leftChars="0"/>
              <w:rPr>
                <w:rFonts w:hint="default" w:ascii="ＭＳ 明朝" w:hAnsi="ＭＳ 明朝"/>
                <w:color w:val="auto"/>
                <w:sz w:val="14"/>
              </w:rPr>
            </w:pPr>
          </w:p>
          <w:p>
            <w:pPr>
              <w:pStyle w:val="22"/>
              <w:ind w:left="0" w:leftChars="0"/>
              <w:rPr>
                <w:rFonts w:hint="default" w:ascii="ＭＳ 明朝" w:hAnsi="ＭＳ 明朝"/>
                <w:color w:val="auto"/>
                <w:sz w:val="14"/>
              </w:rPr>
            </w:pPr>
            <w:r>
              <w:rPr>
                <w:rFonts w:hint="eastAsia" w:ascii="ＭＳ 明朝" w:hAnsi="ＭＳ 明朝"/>
                <w:color w:val="auto"/>
                <w:sz w:val="14"/>
              </w:rPr>
              <w:t>文化機能</w:t>
            </w:r>
          </w:p>
          <w:p>
            <w:pPr>
              <w:pStyle w:val="22"/>
              <w:ind w:left="0" w:leftChars="0"/>
              <w:rPr>
                <w:rFonts w:hint="default" w:ascii="ＭＳ 明朝" w:hAnsi="ＭＳ 明朝"/>
                <w:color w:val="auto"/>
                <w:sz w:val="14"/>
              </w:rPr>
            </w:pPr>
          </w:p>
          <w:p>
            <w:pPr>
              <w:pStyle w:val="22"/>
              <w:ind w:left="0" w:leftChars="0"/>
              <w:rPr>
                <w:rFonts w:hint="default" w:ascii="ＭＳ 明朝" w:hAnsi="ＭＳ 明朝"/>
                <w:color w:val="auto"/>
                <w:sz w:val="14"/>
              </w:rPr>
            </w:pPr>
            <w:r>
              <w:rPr>
                <w:rFonts w:hint="eastAsia" w:ascii="ＭＳ 明朝" w:hAnsi="ＭＳ 明朝"/>
                <w:color w:val="auto"/>
                <w:sz w:val="14"/>
              </w:rPr>
              <w:t>生物多様性保全機能</w:t>
            </w:r>
          </w:p>
        </w:tc>
        <w:tc>
          <w:tcPr>
            <w:tcW w:w="127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22"/>
              <w:ind w:left="0" w:leftChars="0"/>
              <w:rPr>
                <w:rFonts w:hint="default" w:ascii="ＭＳ 明朝" w:hAnsi="ＭＳ 明朝"/>
                <w:color w:val="auto"/>
                <w:sz w:val="14"/>
              </w:rPr>
            </w:pPr>
            <w:r>
              <w:rPr>
                <w:rFonts w:hint="eastAsia" w:ascii="ＭＳ 明朝" w:hAnsi="ＭＳ 明朝"/>
                <w:color w:val="auto"/>
                <w:sz w:val="14"/>
              </w:rPr>
              <w:t>保健・文化機能等維持林</w:t>
            </w:r>
          </w:p>
        </w:tc>
        <w:tc>
          <w:tcPr>
            <w:tcW w:w="3363"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身近な自然や自然とのふれあいの場として適切に管理され、多様な樹種等からなり、住民等に憩いと学びの場を提供している森林であって、必要に応じて保健・教育活動に適した施設が整備されている森林。</w:t>
            </w:r>
          </w:p>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史跡、名勝や天然記念物などと一体となって潤いのある自然景観や歴史的風致を構成している森林であって、必要に応じて文化活動に適した施設が整備されているなど、精神的・文化的・知的向上等を促す場としての森林。</w:t>
            </w:r>
          </w:p>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原生的な森林生態系、希少な生物が生息・生育する森林、陸域・水域にまたがり特有の生物が生育・生息する渓畔林等、その土地固有の生物群集を構成する森林。</w:t>
            </w:r>
          </w:p>
        </w:tc>
        <w:tc>
          <w:tcPr>
            <w:tcW w:w="4149"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保健、レクリエーション利用や文化活動、生物多様性の保全を進める観点から、森林の構成を維持し、樹種の多様性を増進することを基本とし、それぞれの森林が求められる機能やあり方に応じ、保護及び適切な利用の組み合わせに留意して適切な保育・間伐等や広葉樹の導入を図る施業を推進する。</w:t>
            </w:r>
          </w:p>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また保健・風致等のための保安林の指定やその適切な管理を推進するとともに、住民等にとって憩いと学びの場として期待される森林にあっては、自然条件や住民のニーズ等に応じ広葉樹の導入を図るなどの多様な森林整備を推進する。なお、史跡、名勝や天然記念物などと一体となって潤いある自然景観や歴史的風致の創出を期待される森林にあっては、美的景観の維持・形成に配慮した森林整備を推進する。</w:t>
            </w:r>
          </w:p>
        </w:tc>
      </w:tr>
      <w:tr>
        <w:trPr>
          <w:cantSplit/>
          <w:trHeight w:val="788" w:hRule="atLeast"/>
        </w:trPr>
        <w:tc>
          <w:tcPr>
            <w:tcW w:w="993" w:type="dxa"/>
            <w:vMerge w:val="continue"/>
            <w:vAlign w:val="top"/>
          </w:tcPr>
          <w:p>
            <w:pPr>
              <w:pStyle w:val="22"/>
              <w:ind w:left="0" w:leftChars="0"/>
              <w:rPr>
                <w:rFonts w:hint="default" w:ascii="ＭＳ 明朝" w:hAnsi="ＭＳ 明朝"/>
                <w:sz w:val="14"/>
              </w:rPr>
            </w:pPr>
          </w:p>
        </w:tc>
        <w:tc>
          <w:tcPr>
            <w:tcW w:w="283"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textDirection w:val="tbRlV"/>
            <w:vAlign w:val="top"/>
          </w:tcPr>
          <w:p>
            <w:pPr>
              <w:pStyle w:val="22"/>
              <w:ind w:left="113" w:leftChars="0" w:right="113"/>
              <w:rPr>
                <w:rFonts w:hint="default" w:ascii="ＭＳ 明朝" w:hAnsi="ＭＳ 明朝"/>
                <w:color w:val="auto"/>
                <w:sz w:val="12"/>
              </w:rPr>
            </w:pPr>
          </w:p>
        </w:tc>
        <w:tc>
          <w:tcPr>
            <w:tcW w:w="426" w:type="dxa"/>
            <w:vMerge w:val="restart"/>
            <w:textDirection w:val="tbRlV"/>
            <w:vAlign w:val="top"/>
          </w:tcPr>
          <w:p>
            <w:pPr>
              <w:pStyle w:val="22"/>
              <w:ind w:left="111" w:leftChars="53" w:right="113"/>
              <w:jc w:val="left"/>
              <w:rPr>
                <w:rFonts w:hint="default" w:ascii="ＭＳ 明朝" w:hAnsi="ＭＳ 明朝"/>
                <w:color w:val="auto"/>
                <w:sz w:val="12"/>
              </w:rPr>
            </w:pPr>
            <w:r>
              <w:rPr>
                <w:rFonts w:hint="eastAsia" w:ascii="ＭＳ 明朝" w:hAnsi="ＭＳ 明朝"/>
                <w:color w:val="auto"/>
                <w:sz w:val="12"/>
              </w:rPr>
              <w:t>生物多様性ゾーン</w:t>
            </w:r>
          </w:p>
        </w:tc>
        <w:tc>
          <w:tcPr>
            <w:tcW w:w="567" w:type="dxa"/>
            <w:vAlign w:val="top"/>
          </w:tcPr>
          <w:p>
            <w:pPr>
              <w:pStyle w:val="22"/>
              <w:ind w:left="0" w:leftChars="0"/>
              <w:rPr>
                <w:rFonts w:hint="default" w:ascii="ＭＳ 明朝" w:hAnsi="ＭＳ 明朝"/>
                <w:color w:val="auto"/>
                <w:sz w:val="14"/>
              </w:rPr>
            </w:pPr>
            <w:r>
              <w:rPr>
                <w:rFonts w:hint="eastAsia" w:ascii="ＭＳ 明朝" w:hAnsi="ＭＳ 明朝"/>
                <w:color w:val="auto"/>
                <w:sz w:val="14"/>
              </w:rPr>
              <w:t>水辺</w:t>
            </w:r>
          </w:p>
          <w:p>
            <w:pPr>
              <w:pStyle w:val="22"/>
              <w:ind w:left="0" w:leftChars="0"/>
              <w:rPr>
                <w:rFonts w:hint="default" w:ascii="ＭＳ 明朝" w:hAnsi="ＭＳ 明朝"/>
                <w:color w:val="auto"/>
                <w:sz w:val="14"/>
              </w:rPr>
            </w:pPr>
            <w:r>
              <w:rPr>
                <w:rFonts w:hint="eastAsia" w:ascii="ＭＳ 明朝" w:hAnsi="ＭＳ 明朝"/>
                <w:color w:val="auto"/>
                <w:sz w:val="14"/>
              </w:rPr>
              <w:t>林タ</w:t>
            </w:r>
          </w:p>
          <w:p>
            <w:pPr>
              <w:pStyle w:val="22"/>
              <w:ind w:left="0" w:leftChars="0"/>
              <w:rPr>
                <w:rFonts w:hint="default" w:ascii="ＭＳ 明朝" w:hAnsi="ＭＳ 明朝"/>
                <w:color w:val="auto"/>
                <w:sz w:val="14"/>
              </w:rPr>
            </w:pPr>
            <w:r>
              <w:rPr>
                <w:rFonts w:hint="eastAsia" w:ascii="ＭＳ 明朝" w:hAnsi="ＭＳ 明朝"/>
                <w:color w:val="auto"/>
                <w:sz w:val="14"/>
              </w:rPr>
              <w:t>イブ</w:t>
            </w:r>
          </w:p>
        </w:tc>
        <w:tc>
          <w:tcPr>
            <w:tcW w:w="3363"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日射遮蔽、隠れ場形成など野生生物の生育・生息に適した森林や周辺からの土砂・濁水等の流入制御等に寄与している森林で、針広混交林などの多様な樹種構成及び樹齢からなる森林。</w:t>
            </w:r>
          </w:p>
        </w:tc>
        <w:tc>
          <w:tcPr>
            <w:tcW w:w="4149"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水辺における生物多様性保全の観点から、森林の保全に配慮した施業を推進するとともに、濁水発生の回避を図る施業を推進する。</w:t>
            </w:r>
          </w:p>
        </w:tc>
      </w:tr>
      <w:tr>
        <w:trPr>
          <w:cantSplit/>
          <w:trHeight w:val="1172" w:hRule="atLeast"/>
        </w:trPr>
        <w:tc>
          <w:tcPr>
            <w:tcW w:w="993" w:type="dxa"/>
            <w:vMerge w:val="continue"/>
            <w:vAlign w:val="top"/>
          </w:tcPr>
          <w:p>
            <w:pPr>
              <w:pStyle w:val="22"/>
              <w:ind w:left="0" w:leftChars="0"/>
              <w:rPr>
                <w:rFonts w:hint="default" w:ascii="ＭＳ 明朝" w:hAnsi="ＭＳ 明朝"/>
                <w:sz w:val="14"/>
              </w:rPr>
            </w:pPr>
          </w:p>
        </w:tc>
        <w:tc>
          <w:tcPr>
            <w:tcW w:w="283" w:type="dxa"/>
            <w:gridSpan w:val="2"/>
            <w:vMerge w:val="continue"/>
            <w:textDirection w:val="tbRlV"/>
            <w:vAlign w:val="top"/>
          </w:tcPr>
          <w:p>
            <w:pPr>
              <w:pStyle w:val="22"/>
              <w:ind w:left="113" w:leftChars="0" w:right="113"/>
              <w:rPr>
                <w:rFonts w:hint="default" w:ascii="ＭＳ 明朝" w:hAnsi="ＭＳ 明朝"/>
                <w:sz w:val="12"/>
              </w:rPr>
            </w:pPr>
          </w:p>
        </w:tc>
        <w:tc>
          <w:tcPr>
            <w:tcW w:w="426" w:type="dxa"/>
            <w:vMerge w:val="continue"/>
            <w:textDirection w:val="tbRlV"/>
            <w:vAlign w:val="top"/>
          </w:tcPr>
          <w:p>
            <w:pPr>
              <w:pStyle w:val="22"/>
              <w:ind w:left="111" w:leftChars="53" w:right="113"/>
              <w:rPr>
                <w:rFonts w:hint="default" w:ascii="ＭＳ 明朝" w:hAnsi="ＭＳ 明朝"/>
                <w:sz w:val="12"/>
              </w:rPr>
            </w:pPr>
          </w:p>
        </w:tc>
        <w:tc>
          <w:tcPr>
            <w:tcW w:w="567" w:type="dxa"/>
            <w:vAlign w:val="top"/>
          </w:tcPr>
          <w:p>
            <w:pPr>
              <w:pStyle w:val="22"/>
              <w:ind w:left="0" w:leftChars="0"/>
              <w:rPr>
                <w:rFonts w:hint="default" w:ascii="ＭＳ 明朝" w:hAnsi="ＭＳ 明朝"/>
                <w:color w:val="auto"/>
                <w:sz w:val="14"/>
              </w:rPr>
            </w:pPr>
            <w:r>
              <w:rPr>
                <w:rFonts w:hint="eastAsia" w:ascii="ＭＳ 明朝" w:hAnsi="ＭＳ 明朝"/>
                <w:color w:val="auto"/>
                <w:sz w:val="14"/>
              </w:rPr>
              <w:t>保護</w:t>
            </w:r>
          </w:p>
          <w:p>
            <w:pPr>
              <w:pStyle w:val="22"/>
              <w:ind w:left="0" w:leftChars="0"/>
              <w:rPr>
                <w:rFonts w:hint="default" w:ascii="ＭＳ 明朝" w:hAnsi="ＭＳ 明朝"/>
                <w:color w:val="auto"/>
                <w:sz w:val="14"/>
              </w:rPr>
            </w:pPr>
            <w:r>
              <w:rPr>
                <w:rFonts w:hint="eastAsia" w:ascii="ＭＳ 明朝" w:hAnsi="ＭＳ 明朝"/>
                <w:color w:val="auto"/>
                <w:sz w:val="14"/>
              </w:rPr>
              <w:t>地域</w:t>
            </w:r>
          </w:p>
          <w:p>
            <w:pPr>
              <w:pStyle w:val="22"/>
              <w:ind w:left="0" w:leftChars="0"/>
              <w:rPr>
                <w:rFonts w:hint="default" w:ascii="ＭＳ 明朝" w:hAnsi="ＭＳ 明朝"/>
                <w:color w:val="auto"/>
                <w:sz w:val="14"/>
              </w:rPr>
            </w:pPr>
            <w:r>
              <w:rPr>
                <w:rFonts w:hint="eastAsia" w:ascii="ＭＳ 明朝" w:hAnsi="ＭＳ 明朝"/>
                <w:color w:val="auto"/>
                <w:sz w:val="14"/>
              </w:rPr>
              <w:t>タイ</w:t>
            </w:r>
          </w:p>
          <w:p>
            <w:pPr>
              <w:pStyle w:val="22"/>
              <w:ind w:left="0" w:leftChars="0"/>
              <w:rPr>
                <w:rFonts w:hint="default" w:ascii="ＭＳ 明朝" w:hAnsi="ＭＳ 明朝"/>
                <w:color w:val="auto"/>
                <w:sz w:val="14"/>
              </w:rPr>
            </w:pPr>
            <w:r>
              <w:rPr>
                <w:rFonts w:hint="eastAsia" w:ascii="ＭＳ 明朝" w:hAnsi="ＭＳ 明朝"/>
                <w:color w:val="auto"/>
                <w:sz w:val="14"/>
              </w:rPr>
              <w:t>プ</w:t>
            </w:r>
          </w:p>
        </w:tc>
        <w:tc>
          <w:tcPr>
            <w:tcW w:w="3363"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貴重な原生的な森林生態系を構成し、希少な野生生物の生育・生息に適した森林で、針広混交林などの多様な樹種構成及び樹齢からなる森林。</w:t>
            </w:r>
          </w:p>
        </w:tc>
        <w:tc>
          <w:tcPr>
            <w:tcW w:w="4149" w:type="dxa"/>
            <w:vAlign w:val="top"/>
          </w:tcPr>
          <w:p>
            <w:pPr>
              <w:pStyle w:val="22"/>
              <w:ind w:left="0" w:leftChars="0"/>
              <w:rPr>
                <w:rFonts w:hint="default" w:ascii="ＭＳ 明朝" w:hAnsi="ＭＳ 明朝"/>
                <w:color w:val="auto"/>
                <w:sz w:val="14"/>
              </w:rPr>
            </w:pPr>
            <w:r>
              <w:rPr>
                <w:rFonts w:hint="eastAsia" w:ascii="ＭＳ 明朝" w:hAnsi="ＭＳ 明朝"/>
                <w:color w:val="auto"/>
                <w:sz w:val="14"/>
              </w:rPr>
              <w:t>希少な野生生物の生育・生息地確保の観点から、原生的な森林の保全や希少種の保全に配慮した施業を推進するとともに、野生生物のための回廊の確保にも配慮した生態系として重要な森林の適切な保全を推進する。</w:t>
            </w:r>
          </w:p>
        </w:tc>
      </w:tr>
    </w:tbl>
    <w:p>
      <w:pPr>
        <w:pStyle w:val="22"/>
        <w:ind w:left="0" w:leftChars="0"/>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公益的機能別施業森林以外の森林</w:t>
      </w:r>
    </w:p>
    <w:tbl>
      <w:tblPr>
        <w:tblStyle w:val="11"/>
        <w:tblW w:w="978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3"/>
        <w:gridCol w:w="283"/>
        <w:gridCol w:w="851"/>
        <w:gridCol w:w="3505"/>
        <w:gridCol w:w="4149"/>
      </w:tblGrid>
      <w:tr>
        <w:trPr>
          <w:trHeight w:val="553" w:hRule="atLeast"/>
        </w:trPr>
        <w:tc>
          <w:tcPr>
            <w:tcW w:w="993" w:type="dxa"/>
            <w:vAlign w:val="center"/>
          </w:tcPr>
          <w:p>
            <w:pPr>
              <w:pStyle w:val="22"/>
              <w:ind w:left="0" w:leftChars="0"/>
              <w:jc w:val="center"/>
              <w:rPr>
                <w:rFonts w:hint="default" w:ascii="ＭＳ 明朝" w:hAnsi="ＭＳ 明朝"/>
                <w:color w:val="auto"/>
                <w:sz w:val="14"/>
              </w:rPr>
            </w:pPr>
            <w:r>
              <w:rPr>
                <w:rFonts w:hint="eastAsia" w:ascii="ＭＳ 明朝" w:hAnsi="ＭＳ 明朝"/>
                <w:color w:val="auto"/>
                <w:sz w:val="14"/>
              </w:rPr>
              <w:t>重視すべき機能</w:t>
            </w:r>
          </w:p>
        </w:tc>
        <w:tc>
          <w:tcPr>
            <w:tcW w:w="1134" w:type="dxa"/>
            <w:gridSpan w:val="2"/>
            <w:vAlign w:val="center"/>
          </w:tcPr>
          <w:p>
            <w:pPr>
              <w:pStyle w:val="22"/>
              <w:ind w:left="0" w:leftChars="0"/>
              <w:jc w:val="center"/>
              <w:rPr>
                <w:rFonts w:hint="default" w:ascii="ＭＳ 明朝" w:hAnsi="ＭＳ 明朝"/>
                <w:color w:val="auto"/>
                <w:sz w:val="14"/>
              </w:rPr>
            </w:pPr>
            <w:r>
              <w:rPr>
                <w:rFonts w:hint="eastAsia" w:ascii="ＭＳ 明朝" w:hAnsi="ＭＳ 明朝"/>
                <w:color w:val="auto"/>
                <w:sz w:val="14"/>
              </w:rPr>
              <w:t>森林の区域</w:t>
            </w:r>
          </w:p>
        </w:tc>
        <w:tc>
          <w:tcPr>
            <w:tcW w:w="3505" w:type="dxa"/>
            <w:vAlign w:val="center"/>
          </w:tcPr>
          <w:p>
            <w:pPr>
              <w:pStyle w:val="22"/>
              <w:ind w:left="0" w:leftChars="0"/>
              <w:jc w:val="center"/>
              <w:rPr>
                <w:rFonts w:hint="default" w:ascii="ＭＳ 明朝" w:hAnsi="ＭＳ 明朝"/>
                <w:color w:val="auto"/>
                <w:sz w:val="14"/>
              </w:rPr>
            </w:pPr>
            <w:r>
              <w:rPr>
                <w:rFonts w:hint="eastAsia" w:ascii="ＭＳ 明朝" w:hAnsi="ＭＳ 明朝"/>
                <w:color w:val="auto"/>
                <w:sz w:val="14"/>
              </w:rPr>
              <w:t>望ましい森林の姿</w:t>
            </w:r>
          </w:p>
        </w:tc>
        <w:tc>
          <w:tcPr>
            <w:tcW w:w="4149" w:type="dxa"/>
            <w:vAlign w:val="center"/>
          </w:tcPr>
          <w:p>
            <w:pPr>
              <w:pStyle w:val="22"/>
              <w:ind w:left="0" w:leftChars="0"/>
              <w:jc w:val="center"/>
              <w:rPr>
                <w:rFonts w:hint="default" w:ascii="ＭＳ 明朝" w:hAnsi="ＭＳ 明朝"/>
                <w:color w:val="auto"/>
                <w:sz w:val="14"/>
              </w:rPr>
            </w:pPr>
            <w:r>
              <w:rPr>
                <w:rFonts w:hint="eastAsia" w:ascii="ＭＳ 明朝" w:hAnsi="ＭＳ 明朝"/>
                <w:color w:val="auto"/>
                <w:sz w:val="14"/>
              </w:rPr>
              <w:t>森林の整備及び保全の基本方針</w:t>
            </w:r>
          </w:p>
        </w:tc>
      </w:tr>
      <w:tr>
        <w:trPr>
          <w:trHeight w:val="1802" w:hRule="atLeast"/>
        </w:trPr>
        <w:tc>
          <w:tcPr>
            <w:tcW w:w="993" w:type="dxa"/>
            <w:vMerge w:val="restart"/>
            <w:vAlign w:val="top"/>
          </w:tcPr>
          <w:p>
            <w:pPr>
              <w:pStyle w:val="22"/>
              <w:ind w:left="0" w:leftChars="0"/>
              <w:rPr>
                <w:rFonts w:hint="default" w:ascii="ＭＳ 明朝" w:hAnsi="ＭＳ 明朝"/>
                <w:color w:val="auto"/>
                <w:sz w:val="14"/>
              </w:rPr>
            </w:pPr>
            <w:r>
              <w:rPr>
                <w:rFonts w:hint="eastAsia" w:ascii="ＭＳ 明朝" w:hAnsi="ＭＳ 明朝"/>
                <w:color w:val="auto"/>
                <w:sz w:val="14"/>
              </w:rPr>
              <w:t>木材等</w:t>
            </w:r>
          </w:p>
          <w:p>
            <w:pPr>
              <w:pStyle w:val="22"/>
              <w:ind w:left="0" w:leftChars="0"/>
              <w:rPr>
                <w:rFonts w:hint="default" w:ascii="ＭＳ 明朝" w:hAnsi="ＭＳ 明朝"/>
                <w:color w:val="auto"/>
                <w:sz w:val="14"/>
              </w:rPr>
            </w:pPr>
            <w:r>
              <w:rPr>
                <w:rFonts w:hint="eastAsia" w:ascii="ＭＳ 明朝" w:hAnsi="ＭＳ 明朝"/>
                <w:color w:val="auto"/>
                <w:sz w:val="14"/>
              </w:rPr>
              <w:t>生産機能</w:t>
            </w:r>
          </w:p>
        </w:tc>
        <w:tc>
          <w:tcPr>
            <w:tcW w:w="1134"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22"/>
              <w:ind w:left="0" w:leftChars="0"/>
              <w:rPr>
                <w:rFonts w:hint="default" w:ascii="ＭＳ 明朝" w:hAnsi="ＭＳ 明朝"/>
                <w:color w:val="auto"/>
                <w:sz w:val="14"/>
              </w:rPr>
            </w:pPr>
            <w:r>
              <w:rPr>
                <w:rFonts w:hint="eastAsia" w:ascii="ＭＳ 明朝" w:hAnsi="ＭＳ 明朝"/>
                <w:color w:val="auto"/>
                <w:sz w:val="14"/>
              </w:rPr>
              <w:t>木材等生産林</w:t>
            </w:r>
          </w:p>
        </w:tc>
        <w:tc>
          <w:tcPr>
            <w:tcW w:w="3505"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林木の生育に適した土壌を有し、木材として利用する上で良好な樹木により構成され、成長量が高い森林であって、林道等の基盤施設が適切に整備されている森林。</w:t>
            </w:r>
          </w:p>
        </w:tc>
        <w:tc>
          <w:tcPr>
            <w:tcW w:w="4149" w:type="dxa"/>
            <w:vAlign w:val="top"/>
          </w:tcPr>
          <w:p>
            <w:pPr>
              <w:pStyle w:val="22"/>
              <w:ind w:left="0" w:leftChars="0" w:firstLine="140" w:firstLineChars="100"/>
              <w:rPr>
                <w:rFonts w:hint="default" w:ascii="ＭＳ 明朝" w:hAnsi="ＭＳ 明朝"/>
                <w:color w:val="auto"/>
                <w:sz w:val="14"/>
              </w:rPr>
            </w:pPr>
            <w:r>
              <w:rPr>
                <w:rFonts w:hint="eastAsia" w:ascii="ＭＳ 明朝" w:hAnsi="ＭＳ 明朝"/>
                <w:color w:val="auto"/>
                <w:sz w:val="14"/>
              </w:rPr>
              <w:t>木材等の林産物を持続的、安定的かつ効率的に供給する観点から、森林の健全性を確保し、木材需要に応じた樹種、径級の林木を生育させるための適切な造林、保育及び間伐等を推進する。また、将来にわたり育成単層林として維持する森林では、主伐後の植栽による確実な更新を行うとともに、施業の集約化や機械化を通じた効率的な整備を推進する。</w:t>
            </w:r>
          </w:p>
        </w:tc>
      </w:tr>
      <w:tr>
        <w:trPr>
          <w:trHeight w:val="2266" w:hRule="atLeast"/>
        </w:trPr>
        <w:tc>
          <w:tcPr>
            <w:tcW w:w="993" w:type="dxa"/>
            <w:vMerge w:val="continue"/>
            <w:vAlign w:val="top"/>
          </w:tcPr>
          <w:p>
            <w:pPr>
              <w:pStyle w:val="22"/>
              <w:ind w:left="0" w:leftChars="0"/>
              <w:rPr>
                <w:rFonts w:hint="default" w:ascii="ＭＳ 明朝" w:hAnsi="ＭＳ 明朝"/>
                <w:sz w:val="14"/>
              </w:rPr>
            </w:pPr>
          </w:p>
        </w:tc>
        <w:tc>
          <w:tcPr>
            <w:tcW w:w="283"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22"/>
              <w:rPr>
                <w:rFonts w:hint="default" w:ascii="ＭＳ 明朝" w:hAnsi="ＭＳ 明朝"/>
                <w:color w:val="auto"/>
                <w:sz w:val="14"/>
              </w:rPr>
            </w:pPr>
          </w:p>
        </w:tc>
        <w:tc>
          <w:tcPr>
            <w:tcW w:w="8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2"/>
              <w:rPr>
                <w:rFonts w:hint="default" w:ascii="ＭＳ 明朝" w:hAnsi="ＭＳ 明朝"/>
                <w:color w:val="auto"/>
                <w:sz w:val="14"/>
              </w:rPr>
            </w:pPr>
          </w:p>
          <w:p>
            <w:pPr>
              <w:pStyle w:val="0"/>
              <w:rPr>
                <w:rFonts w:hint="default"/>
                <w:color w:val="auto"/>
                <w:sz w:val="14"/>
              </w:rPr>
            </w:pPr>
            <w:r>
              <w:rPr>
                <w:rFonts w:hint="eastAsia"/>
                <w:color w:val="auto"/>
                <w:sz w:val="14"/>
              </w:rPr>
              <w:t>特に効率的な森林施業が可能な森林</w:t>
            </w:r>
          </w:p>
        </w:tc>
        <w:tc>
          <w:tcPr>
            <w:tcW w:w="3505" w:type="dxa"/>
            <w:vAlign w:val="top"/>
          </w:tcPr>
          <w:p>
            <w:pPr>
              <w:pStyle w:val="0"/>
              <w:ind w:firstLine="140" w:firstLineChars="100"/>
              <w:rPr>
                <w:rFonts w:hint="default" w:ascii="ＭＳ 明朝" w:hAnsi="ＭＳ 明朝"/>
                <w:color w:val="auto"/>
                <w:sz w:val="14"/>
              </w:rPr>
            </w:pPr>
            <w:r>
              <w:rPr>
                <w:rFonts w:hint="eastAsia" w:ascii="ＭＳ 明朝" w:hAnsi="ＭＳ 明朝"/>
                <w:color w:val="auto"/>
                <w:sz w:val="14"/>
              </w:rPr>
              <w:t>特に林木の生育に適した土壌のほか、傾斜が緩やかであるなど自然条件を有し、木材として利用するうえで良好な樹木により構成され成長量が高い森林であって、林道等の基盤施設が適切に整備されている森林</w:t>
            </w:r>
          </w:p>
        </w:tc>
        <w:tc>
          <w:tcPr>
            <w:tcW w:w="4149" w:type="dxa"/>
            <w:vAlign w:val="top"/>
          </w:tcPr>
          <w:p>
            <w:pPr>
              <w:pStyle w:val="0"/>
              <w:ind w:firstLine="140" w:firstLineChars="100"/>
              <w:rPr>
                <w:rFonts w:hint="default" w:ascii="ＭＳ 明朝" w:hAnsi="ＭＳ 明朝"/>
                <w:color w:val="auto"/>
                <w:sz w:val="14"/>
              </w:rPr>
            </w:pPr>
            <w:r>
              <w:rPr>
                <w:rFonts w:hint="eastAsia" w:ascii="ＭＳ 明朝" w:hAnsi="ＭＳ 明朝"/>
                <w:color w:val="auto"/>
                <w:sz w:val="14"/>
              </w:rPr>
              <w:t>特に木材等の林産物を持続的、安定的かつ効率的に供給する観点から、森林の健全性を確保し、木材需要に応じた樹種、径級の林木を生育させるための適切な造林、保育及び間伐等を推進する。また、区域設定した人工林にあっては、主伐後は原則、植栽による確実な更新を行うとともに、施業の集約化や機械化を通じた効率的な整備を推進する。</w:t>
            </w:r>
          </w:p>
        </w:tc>
      </w:tr>
    </w:tbl>
    <w:p>
      <w:pPr>
        <w:pStyle w:val="22"/>
        <w:ind w:left="0" w:leftChars="0"/>
        <w:rPr>
          <w:rFonts w:hint="default" w:ascii="ＭＳ 明朝" w:hAnsi="ＭＳ 明朝"/>
          <w:color w:val="auto"/>
        </w:rPr>
      </w:pPr>
    </w:p>
    <w:p>
      <w:pPr>
        <w:pStyle w:val="22"/>
        <w:ind w:left="0" w:leftChars="0" w:firstLine="210" w:firstLineChars="100"/>
        <w:rPr>
          <w:rFonts w:hint="default" w:ascii="ＭＳ 明朝" w:hAnsi="ＭＳ 明朝"/>
          <w:color w:val="auto"/>
        </w:rPr>
      </w:pPr>
      <w:r>
        <w:rPr>
          <w:rFonts w:hint="eastAsia" w:ascii="ＭＳ 明朝" w:hAnsi="ＭＳ 明朝"/>
          <w:color w:val="auto"/>
        </w:rPr>
        <w:t>（３）　その他必要な事項</w:t>
      </w:r>
    </w:p>
    <w:p>
      <w:pPr>
        <w:pStyle w:val="0"/>
        <w:ind w:left="630" w:leftChars="200" w:hanging="210" w:hangingChars="100"/>
        <w:rPr>
          <w:rFonts w:hint="default" w:ascii="ＭＳ 明朝" w:hAnsi="ＭＳ 明朝"/>
          <w:color w:val="auto"/>
        </w:rPr>
      </w:pPr>
      <w:r>
        <w:rPr>
          <w:rFonts w:hint="eastAsia" w:ascii="ＭＳ 明朝" w:hAnsi="ＭＳ 明朝"/>
          <w:color w:val="auto"/>
        </w:rPr>
        <w:t>ア　長伐期施業や複層林施業による多様な森林への誘導や皆伐に伴う裸地面積の縮小及び分散を図るよう努めることとします。</w:t>
      </w:r>
    </w:p>
    <w:p>
      <w:pPr>
        <w:pStyle w:val="0"/>
        <w:ind w:left="630" w:leftChars="200" w:hanging="210" w:hangingChars="100"/>
        <w:rPr>
          <w:rFonts w:hint="default" w:ascii="ＭＳ 明朝" w:hAnsi="ＭＳ 明朝"/>
          <w:color w:val="auto"/>
        </w:rPr>
      </w:pPr>
      <w:r>
        <w:rPr>
          <w:rFonts w:hint="eastAsia" w:ascii="ＭＳ 明朝" w:hAnsi="ＭＳ 明朝"/>
          <w:color w:val="auto"/>
        </w:rPr>
        <w:t>イ　森林の有する公益的機能が重視される森林で風害を受けやすい地域においては、風害に強い多様な樹種・樹冠層により形成される森林へ誘導するため、人工造林や天然更新（地表処理等）を適切に組み合わせ、樹種や林齢の異なる林分構造とすることを基本とします。</w:t>
      </w:r>
    </w:p>
    <w:p>
      <w:pPr>
        <w:pStyle w:val="0"/>
        <w:ind w:left="630" w:leftChars="200" w:hanging="210" w:hangingChars="100"/>
        <w:rPr>
          <w:rFonts w:hint="default" w:ascii="ＭＳ 明朝" w:hAnsi="ＭＳ 明朝"/>
          <w:strike w:val="1"/>
          <w:color w:val="auto"/>
        </w:rPr>
      </w:pPr>
      <w:r>
        <w:rPr>
          <w:rFonts w:hint="eastAsia" w:ascii="ＭＳ 明朝" w:hAnsi="ＭＳ 明朝"/>
          <w:color w:val="auto"/>
        </w:rPr>
        <w:t>ウ　種の保存法（絶滅のおそれのある野生動植物の種の保存に関する法律）に定める「国内希少野生動植物種」及び北海道生物の多様性の保全等に関する条例に定める「指定希少野生動植物種」並びに文化財保護法又は文化財保護条例で「天然記念物」及び「特別天然記念物」に指定されている野生生物の生息環境の保全を図るため、これらの生育・生息状況に配慮した森林施業を図るよう努めることとします。</w:t>
      </w:r>
    </w:p>
    <w:p>
      <w:pPr>
        <w:pStyle w:val="22"/>
        <w:ind w:left="0" w:leftChars="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森林施業の合理化に関する基本方針</w:t>
      </w:r>
    </w:p>
    <w:p>
      <w:pPr>
        <w:pStyle w:val="0"/>
        <w:ind w:left="210" w:hanging="210" w:hangingChars="100"/>
        <w:rPr>
          <w:rFonts w:hint="default" w:ascii="ＭＳ 明朝" w:hAnsi="ＭＳ 明朝"/>
          <w:color w:val="auto"/>
        </w:rPr>
      </w:pPr>
      <w:r>
        <w:rPr>
          <w:rFonts w:hint="eastAsia" w:ascii="ＭＳ 明朝" w:hAnsi="ＭＳ 明朝"/>
          <w:color w:val="auto"/>
        </w:rPr>
        <w:t>　　小規模な森林所有形態や林業従事者の高齢化等の課題を克服し、低コストで効率的な森林整備を進めるとともに、安定的、効率的に木材を供給できる体制を整備するため、森林・林業・木材産業関係者等との合意形成を図りながら、委託による森林の施業または経営の実施、森林施業の共同化、林業従事者の養成及び確保等について、計画的かつ総合的に推進することと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Ⅱ　森林の</w:t>
      </w:r>
      <w:r>
        <w:rPr>
          <w:rFonts w:hint="eastAsia" w:ascii="ＭＳ 明朝" w:hAnsi="ＭＳ 明朝"/>
          <w:color w:val="000000" w:themeColor="text1"/>
          <w:u w:val="none" w:color="auto"/>
        </w:rPr>
        <w:t>整備</w:t>
      </w:r>
      <w:r>
        <w:rPr>
          <w:rFonts w:hint="eastAsia" w:ascii="ＭＳ 明朝" w:hAnsi="ＭＳ 明朝"/>
          <w:color w:val="auto"/>
        </w:rPr>
        <w:t>に関する事項</w:t>
      </w:r>
    </w:p>
    <w:p>
      <w:pPr>
        <w:pStyle w:val="0"/>
        <w:rPr>
          <w:rFonts w:hint="default" w:ascii="ＭＳ 明朝" w:hAnsi="ＭＳ 明朝"/>
          <w:color w:val="auto"/>
        </w:rPr>
      </w:pPr>
      <w:r>
        <w:rPr>
          <w:rFonts w:hint="eastAsia" w:ascii="ＭＳ 明朝" w:hAnsi="ＭＳ 明朝"/>
          <w:color w:val="auto"/>
        </w:rPr>
        <w:t>第１　森林の立木竹の伐採に関する事項（間伐に関する事項を除く）</w:t>
      </w:r>
    </w:p>
    <w:p>
      <w:pPr>
        <w:pStyle w:val="0"/>
        <w:ind w:left="210" w:leftChars="-100" w:hanging="420" w:hangingChars="200"/>
        <w:rPr>
          <w:rFonts w:hint="default" w:ascii="ＭＳ 明朝" w:hAnsi="ＭＳ 明朝"/>
          <w:color w:val="auto"/>
        </w:rPr>
      </w:pPr>
      <w:r>
        <w:rPr>
          <w:rFonts w:hint="eastAsia" w:ascii="ＭＳ 明朝" w:hAnsi="ＭＳ 明朝"/>
          <w:color w:val="auto"/>
        </w:rPr>
        <w:t>　　　立木の伐採については、Ⅰの２「森林整備の基本方針」を踏まえ、森林の有する多面的機能の維持増進を図るため、適切な森林施業の方法により、立木を伐採することとします。</w:t>
      </w:r>
    </w:p>
    <w:p>
      <w:pPr>
        <w:pStyle w:val="0"/>
        <w:rPr>
          <w:rFonts w:hint="default" w:ascii="ＭＳ 明朝" w:hAnsi="ＭＳ 明朝"/>
          <w:color w:val="auto"/>
        </w:rPr>
      </w:pPr>
      <w:r>
        <w:rPr>
          <w:rFonts w:hint="eastAsia" w:ascii="ＭＳ 明朝" w:hAnsi="ＭＳ 明朝"/>
          <w:color w:val="auto"/>
        </w:rPr>
        <w:t>１　立木の伐採（主伐）の標準的な方法</w:t>
      </w:r>
    </w:p>
    <w:p>
      <w:pPr>
        <w:pStyle w:val="0"/>
        <w:ind w:left="420" w:leftChars="100" w:hanging="210" w:hangingChars="100"/>
        <w:rPr>
          <w:rFonts w:hint="default" w:ascii="ＭＳ 明朝" w:hAnsi="ＭＳ 明朝"/>
          <w:color w:val="auto"/>
        </w:rPr>
      </w:pPr>
      <w:r>
        <w:rPr>
          <w:rFonts w:hint="eastAsia" w:ascii="ＭＳ 明朝" w:hAnsi="ＭＳ 明朝"/>
          <w:color w:val="auto"/>
        </w:rPr>
        <w:t>（１）　立木の伐採のうち主伐については更新を伴う伐採であり、その伐採方法別の留意点については次によることとします。</w:t>
      </w:r>
    </w:p>
    <w:p>
      <w:pPr>
        <w:pStyle w:val="0"/>
        <w:ind w:firstLine="420" w:firstLineChars="200"/>
        <w:rPr>
          <w:rFonts w:hint="default" w:ascii="ＭＳ 明朝" w:hAnsi="ＭＳ 明朝"/>
          <w:color w:val="auto"/>
        </w:rPr>
      </w:pPr>
      <w:r>
        <w:rPr>
          <w:rFonts w:hint="eastAsia" w:ascii="ＭＳ 明朝" w:hAnsi="ＭＳ 明朝"/>
          <w:color w:val="auto"/>
        </w:rPr>
        <w:t>ア　皆伐</w:t>
      </w:r>
    </w:p>
    <w:p>
      <w:pPr>
        <w:pStyle w:val="0"/>
        <w:ind w:firstLine="840" w:firstLineChars="400"/>
        <w:rPr>
          <w:rFonts w:hint="default" w:ascii="ＭＳ 明朝" w:hAnsi="ＭＳ 明朝"/>
          <w:color w:val="auto"/>
        </w:rPr>
      </w:pPr>
      <w:r>
        <w:rPr>
          <w:rFonts w:hint="eastAsia" w:ascii="ＭＳ 明朝" w:hAnsi="ＭＳ 明朝"/>
          <w:color w:val="auto"/>
        </w:rPr>
        <w:t>皆伐については、主伐のうちイの択伐以外のものとします。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皆伐にあたっては、気候、地形、地質、土壌等の自然的条件及び森林の有する公益的機能の確保の必要性を踏まえ適切な伐採区域の形状、一箇所あたりの伐採面積の規模及び伐採区域のモザイク的配置に配慮し、適確な更新を図る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なお、一箇所あたりの伐採面積は原則として２０</w:t>
      </w:r>
      <w:r>
        <w:rPr>
          <w:rFonts w:hint="eastAsia" w:ascii="ＭＳ 明朝" w:hAnsi="ＭＳ 明朝"/>
          <w:color w:val="auto"/>
        </w:rPr>
        <w:t>ha</w:t>
      </w:r>
      <w:r>
        <w:rPr>
          <w:rFonts w:hint="eastAsia" w:ascii="ＭＳ 明朝" w:hAnsi="ＭＳ 明朝"/>
          <w:color w:val="auto"/>
        </w:rPr>
        <w:t>を超えないこととし、伐採面積の縮小及び伐採箇所の分散に努めることとします。</w:t>
      </w:r>
    </w:p>
    <w:p>
      <w:pPr>
        <w:pStyle w:val="0"/>
        <w:ind w:firstLine="420" w:firstLineChars="200"/>
        <w:rPr>
          <w:rFonts w:hint="default" w:ascii="ＭＳ 明朝" w:hAnsi="ＭＳ 明朝"/>
          <w:color w:val="auto"/>
        </w:rPr>
      </w:pPr>
      <w:r>
        <w:rPr>
          <w:rFonts w:hint="eastAsia" w:ascii="ＭＳ 明朝" w:hAnsi="ＭＳ 明朝"/>
          <w:color w:val="auto"/>
        </w:rPr>
        <w:t>イ　択伐</w:t>
      </w:r>
    </w:p>
    <w:p>
      <w:pPr>
        <w:pStyle w:val="0"/>
        <w:ind w:left="630" w:leftChars="300" w:firstLine="210" w:firstLineChars="100"/>
        <w:rPr>
          <w:rFonts w:hint="default" w:ascii="ＭＳ 明朝" w:hAnsi="ＭＳ 明朝"/>
          <w:color w:val="auto"/>
        </w:rPr>
      </w:pPr>
      <w:r>
        <w:rPr>
          <w:rFonts w:hint="eastAsia" w:ascii="ＭＳ 明朝" w:hAnsi="ＭＳ 明朝"/>
          <w:color w:val="auto"/>
        </w:rPr>
        <w:t>択伐は、主伐のうち伐採区域の森林を構成する立木の一部を伐採する方法であり、単木、帯状または樹群を単位として伐採区域全体ではおおむね均等な割合となるよう伐採することとし、原則として材積にかかる伐採率が３０％以下（伐採後の造林が植栽による場合にあっては４０％以下）となるよう行う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なお、択伐にあたっては適切な伐採率により一定の立木材積を維持することとし、森林の有する多面的機能の維持増進を図るよう努めることとします。また、天然更新を前提とする場合は、現地の自然条件や更新を期待する樹種の特性などを勘案し、母樹の保存、種子の結実や飛散状況、天然稚樹の生育状況等にも配慮して行うこととします。</w:t>
      </w:r>
    </w:p>
    <w:p>
      <w:pPr>
        <w:pStyle w:val="0"/>
        <w:ind w:left="420" w:leftChars="100" w:hanging="210" w:hangingChars="100"/>
        <w:rPr>
          <w:rFonts w:hint="default" w:ascii="ＭＳ 明朝" w:hAnsi="ＭＳ 明朝"/>
          <w:color w:val="auto"/>
        </w:rPr>
      </w:pPr>
      <w:r>
        <w:rPr>
          <w:rFonts w:hint="eastAsia" w:ascii="ＭＳ 明朝" w:hAnsi="ＭＳ 明朝"/>
          <w:color w:val="auto"/>
        </w:rPr>
        <w:t>（２）　主伐にあたっては、伐採跡地が連続するような場合には、少なくとも周辺森林の成木の樹高程度の幅を間に確保し、森林の有する公益的機能の発揮と森林生産力の維持増進に留意することとします。また、伐採の対象とする立木は標準伐期齢以上であることを目安として選定することとします。</w:t>
      </w:r>
    </w:p>
    <w:p>
      <w:pPr>
        <w:pStyle w:val="0"/>
        <w:ind w:left="420" w:leftChars="100" w:hanging="210" w:hangingChars="100"/>
        <w:rPr>
          <w:rFonts w:hint="default" w:ascii="ＭＳ 明朝" w:hAnsi="ＭＳ 明朝"/>
          <w:color w:val="auto"/>
        </w:rPr>
      </w:pPr>
      <w:r>
        <w:rPr>
          <w:rFonts w:hint="eastAsia" w:ascii="ＭＳ 明朝" w:hAnsi="ＭＳ 明朝"/>
          <w:color w:val="auto"/>
        </w:rPr>
        <w:t>　　また、伐採作業に伴う林業機械の走行等に必要な集材路の作設等にあたっては、伐採する区域の地形や地質等を十分に確認した上で配置の計画や施工等を行い、森林の更新及び森林の土地の保全への影響を極力抑えることとします。</w:t>
      </w:r>
    </w:p>
    <w:p>
      <w:pPr>
        <w:pStyle w:val="0"/>
        <w:ind w:left="420" w:leftChars="100" w:hanging="210" w:hangingChars="100"/>
        <w:rPr>
          <w:rFonts w:hint="default" w:ascii="ＭＳ 明朝" w:hAnsi="ＭＳ 明朝"/>
          <w:color w:val="auto"/>
        </w:rPr>
      </w:pPr>
      <w:r>
        <w:rPr>
          <w:rFonts w:hint="eastAsia" w:ascii="ＭＳ 明朝" w:hAnsi="ＭＳ 明朝"/>
          <w:color w:val="auto"/>
        </w:rPr>
        <w:t>（３）　伐採後の適確な更新を確保するため、あらかじめ適切な更新の方法を定め、その方法を勘案　して伐採を行うこととします。特に伐採後の更新を天然更新とする場合、母樹の保存、種子の結実や飛散状況、天然稚樹の生育状況等に配慮することとします。なお、劣悪な自然条件により更新を確保するため伐採の方法を特定する必要のある森林においては、択伐等適確な更新に配慮した伐採方法とします。</w:t>
      </w:r>
    </w:p>
    <w:p>
      <w:pPr>
        <w:pStyle w:val="0"/>
        <w:ind w:left="420" w:leftChars="100" w:hanging="210" w:hangingChars="100"/>
        <w:rPr>
          <w:rFonts w:hint="default" w:ascii="ＭＳ 明朝" w:hAnsi="ＭＳ 明朝"/>
          <w:color w:val="auto"/>
        </w:rPr>
      </w:pPr>
      <w:r>
        <w:rPr>
          <w:rFonts w:hint="eastAsia" w:ascii="ＭＳ 明朝" w:hAnsi="ＭＳ 明朝"/>
          <w:color w:val="auto"/>
        </w:rPr>
        <w:t>（４）　複層林施業の主伐を行う場合は、上層木の樹冠層を保残するよう留意し、森林を構成している樹種や林分構造等を勘案するとともに下層木に十分な光が当たるよう、適切な伐採率及び繰り返し期間をもって行うこととします。</w:t>
      </w:r>
    </w:p>
    <w:p>
      <w:pPr>
        <w:pStyle w:val="0"/>
        <w:ind w:left="420" w:leftChars="100" w:hanging="210" w:hangingChars="1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樹種別の立木の標準伐期齢</w:t>
      </w:r>
    </w:p>
    <w:p>
      <w:pPr>
        <w:pStyle w:val="0"/>
        <w:ind w:left="210" w:hanging="210" w:hangingChars="100"/>
        <w:rPr>
          <w:rFonts w:hint="default" w:ascii="ＭＳ 明朝" w:hAnsi="ＭＳ 明朝"/>
          <w:color w:val="auto"/>
        </w:rPr>
      </w:pPr>
      <w:r>
        <w:rPr>
          <w:rFonts w:hint="eastAsia" w:ascii="ＭＳ 明朝" w:hAnsi="ＭＳ 明朝"/>
          <w:color w:val="auto"/>
        </w:rPr>
        <w:t>　　本村における立木の標準伐期齢は、標準的な立地条件にある森林の平均成長量が最大となる林齢を基準に、次のとおり定めます。なお、標準伐期齢は地域の標準的な立木の伐採（主伐）の時期に関する指標として定めるものであり、定めた林齢に達した時点での森林の伐採を促すものではありません。</w:t>
      </w:r>
    </w:p>
    <w:p>
      <w:pPr>
        <w:pStyle w:val="0"/>
        <w:ind w:firstLine="420" w:firstLineChars="200"/>
        <w:rPr>
          <w:rFonts w:hint="default" w:ascii="ＭＳ 明朝" w:hAnsi="ＭＳ 明朝"/>
          <w:color w:val="auto"/>
        </w:rPr>
      </w:pPr>
      <w:r>
        <w:rPr>
          <w:rFonts w:hint="eastAsia" w:ascii="ＭＳ 明朝" w:hAnsi="ＭＳ 明朝"/>
          <w:color w:val="auto"/>
        </w:rPr>
        <w:t>また、標準伐期齢は森林経営計画の実施基準や保安林等における伐採規制等の指標に用いられます。</w:t>
      </w:r>
    </w:p>
    <w:p>
      <w:pPr>
        <w:pStyle w:val="0"/>
        <w:ind w:firstLine="420" w:firstLineChars="200"/>
        <w:rPr>
          <w:rFonts w:hint="default" w:ascii="ＭＳ 明朝" w:hAnsi="ＭＳ 明朝"/>
          <w:color w:val="auto"/>
        </w:rPr>
      </w:pPr>
    </w:p>
    <w:tbl>
      <w:tblPr>
        <w:tblStyle w:val="11"/>
        <w:tblW w:w="7150" w:type="dxa"/>
        <w:tblInd w:w="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51"/>
        <w:gridCol w:w="5459"/>
        <w:gridCol w:w="1140"/>
      </w:tblGrid>
      <w:tr>
        <w:trPr>
          <w:trHeight w:val="338" w:hRule="atLeast"/>
        </w:trPr>
        <w:tc>
          <w:tcPr>
            <w:tcW w:w="6010" w:type="dxa"/>
            <w:gridSpan w:val="2"/>
            <w:vAlign w:val="center"/>
          </w:tcPr>
          <w:p>
            <w:pPr>
              <w:pStyle w:val="0"/>
              <w:jc w:val="center"/>
              <w:rPr>
                <w:rFonts w:hint="default" w:ascii="ＭＳ 明朝" w:hAnsi="ＭＳ 明朝"/>
                <w:color w:val="auto"/>
              </w:rPr>
            </w:pPr>
            <w:r>
              <w:rPr>
                <w:rFonts w:hint="eastAsia" w:ascii="ＭＳ 明朝" w:hAnsi="ＭＳ 明朝"/>
                <w:color w:val="auto"/>
              </w:rPr>
              <w:t>樹種</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林齢</w:t>
            </w:r>
          </w:p>
        </w:tc>
      </w:tr>
      <w:tr>
        <w:trPr>
          <w:trHeight w:val="297" w:hRule="atLeast"/>
        </w:trPr>
        <w:tc>
          <w:tcPr>
            <w:tcW w:w="551" w:type="dxa"/>
            <w:vMerge w:val="restart"/>
            <w:vAlign w:val="center"/>
          </w:tcPr>
          <w:p>
            <w:pPr>
              <w:pStyle w:val="0"/>
              <w:jc w:val="center"/>
              <w:rPr>
                <w:rFonts w:hint="default" w:ascii="ＭＳ 明朝" w:hAnsi="ＭＳ 明朝"/>
                <w:color w:val="auto"/>
              </w:rPr>
            </w:pPr>
            <w:r>
              <w:rPr>
                <w:rFonts w:hint="eastAsia" w:ascii="ＭＳ 明朝" w:hAnsi="ＭＳ 明朝"/>
                <w:color w:val="auto"/>
              </w:rPr>
              <w:t>人</w:t>
            </w:r>
          </w:p>
          <w:p>
            <w:pPr>
              <w:pStyle w:val="0"/>
              <w:jc w:val="center"/>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工</w:t>
            </w:r>
          </w:p>
          <w:p>
            <w:pPr>
              <w:pStyle w:val="0"/>
              <w:jc w:val="center"/>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林</w:t>
            </w:r>
          </w:p>
          <w:p>
            <w:pPr>
              <w:pStyle w:val="0"/>
              <w:jc w:val="center"/>
              <w:rPr>
                <w:rFonts w:hint="default" w:ascii="ＭＳ 明朝" w:hAnsi="ＭＳ 明朝"/>
                <w:color w:val="auto"/>
              </w:rPr>
            </w:pPr>
          </w:p>
        </w:tc>
        <w:tc>
          <w:tcPr>
            <w:tcW w:w="5459" w:type="dxa"/>
            <w:vAlign w:val="top"/>
          </w:tcPr>
          <w:p>
            <w:pPr>
              <w:pStyle w:val="0"/>
              <w:jc w:val="left"/>
              <w:rPr>
                <w:rFonts w:hint="default" w:ascii="ＭＳ 明朝" w:hAnsi="ＭＳ 明朝"/>
                <w:color w:val="auto"/>
              </w:rPr>
            </w:pPr>
            <w:r>
              <w:rPr>
                <w:rFonts w:hint="eastAsia" w:ascii="ＭＳ 明朝" w:hAnsi="ＭＳ 明朝"/>
                <w:color w:val="auto"/>
              </w:rPr>
              <w:t>エゾマツ・アカエゾマツ</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60</w:t>
            </w:r>
          </w:p>
        </w:tc>
      </w:tr>
      <w:tr>
        <w:trPr>
          <w:trHeight w:val="297" w:hRule="atLeast"/>
        </w:trPr>
        <w:tc>
          <w:tcPr>
            <w:tcW w:w="551" w:type="dxa"/>
            <w:vMerge w:val="continue"/>
            <w:vAlign w:val="center"/>
          </w:tcPr>
          <w:p>
            <w:pPr>
              <w:pStyle w:val="0"/>
              <w:jc w:val="center"/>
              <w:rPr>
                <w:rFonts w:hint="default" w:ascii="ＭＳ 明朝" w:hAnsi="ＭＳ 明朝"/>
              </w:rPr>
            </w:pPr>
          </w:p>
        </w:tc>
        <w:tc>
          <w:tcPr>
            <w:tcW w:w="5459" w:type="dxa"/>
            <w:vAlign w:val="top"/>
          </w:tcPr>
          <w:p>
            <w:pPr>
              <w:pStyle w:val="0"/>
              <w:jc w:val="left"/>
              <w:rPr>
                <w:rFonts w:hint="default" w:ascii="ＭＳ 明朝" w:hAnsi="ＭＳ 明朝"/>
                <w:color w:val="auto"/>
              </w:rPr>
            </w:pPr>
            <w:r>
              <w:rPr>
                <w:rFonts w:hint="eastAsia" w:ascii="ＭＳ 明朝" w:hAnsi="ＭＳ 明朝"/>
                <w:color w:val="auto"/>
              </w:rPr>
              <w:t>トドマツ</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40</w:t>
            </w:r>
          </w:p>
        </w:tc>
      </w:tr>
      <w:tr>
        <w:trPr>
          <w:trHeight w:val="297" w:hRule="atLeast"/>
        </w:trPr>
        <w:tc>
          <w:tcPr>
            <w:tcW w:w="551" w:type="dxa"/>
            <w:vMerge w:val="continue"/>
            <w:vAlign w:val="center"/>
          </w:tcPr>
          <w:p>
            <w:pPr>
              <w:pStyle w:val="0"/>
              <w:rPr>
                <w:rFonts w:hint="default"/>
              </w:rPr>
            </w:pPr>
          </w:p>
        </w:tc>
        <w:tc>
          <w:tcPr>
            <w:tcW w:w="5459" w:type="dxa"/>
            <w:vAlign w:val="top"/>
          </w:tcPr>
          <w:p>
            <w:pPr>
              <w:pStyle w:val="0"/>
              <w:jc w:val="left"/>
              <w:rPr>
                <w:rFonts w:hint="default" w:ascii="ＭＳ 明朝" w:hAnsi="ＭＳ 明朝"/>
                <w:color w:val="auto"/>
              </w:rPr>
            </w:pPr>
            <w:r>
              <w:rPr>
                <w:rFonts w:hint="eastAsia" w:ascii="ＭＳ 明朝" w:hAnsi="ＭＳ 明朝"/>
                <w:color w:val="auto"/>
              </w:rPr>
              <w:t>カラマツ（グイマツとの交配種を含む）</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30</w:t>
            </w:r>
          </w:p>
        </w:tc>
      </w:tr>
      <w:tr>
        <w:trPr>
          <w:trHeight w:val="297" w:hRule="atLeast"/>
        </w:trPr>
        <w:tc>
          <w:tcPr>
            <w:tcW w:w="551" w:type="dxa"/>
            <w:vMerge w:val="continue"/>
            <w:vAlign w:val="center"/>
          </w:tcPr>
          <w:p>
            <w:pPr>
              <w:pStyle w:val="0"/>
              <w:rPr>
                <w:rFonts w:hint="default"/>
              </w:rPr>
            </w:pPr>
          </w:p>
        </w:tc>
        <w:tc>
          <w:tcPr>
            <w:tcW w:w="5459" w:type="dxa"/>
            <w:vAlign w:val="top"/>
          </w:tcPr>
          <w:p>
            <w:pPr>
              <w:pStyle w:val="0"/>
              <w:rPr>
                <w:rFonts w:hint="default" w:ascii="ＭＳ 明朝" w:hAnsi="ＭＳ 明朝"/>
                <w:color w:val="auto"/>
              </w:rPr>
            </w:pPr>
            <w:r>
              <w:rPr>
                <w:rFonts w:hint="eastAsia" w:ascii="ＭＳ 明朝" w:hAnsi="ＭＳ 明朝"/>
                <w:color w:val="auto"/>
              </w:rPr>
              <w:t>その他針葉樹</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40</w:t>
            </w:r>
          </w:p>
        </w:tc>
      </w:tr>
      <w:tr>
        <w:trPr>
          <w:trHeight w:val="297" w:hRule="atLeast"/>
        </w:trPr>
        <w:tc>
          <w:tcPr>
            <w:tcW w:w="551" w:type="dxa"/>
            <w:vMerge w:val="continue"/>
            <w:vAlign w:val="center"/>
          </w:tcPr>
          <w:p>
            <w:pPr>
              <w:pStyle w:val="0"/>
              <w:rPr>
                <w:rFonts w:hint="default"/>
              </w:rPr>
            </w:pPr>
          </w:p>
        </w:tc>
        <w:tc>
          <w:tcPr>
            <w:tcW w:w="5459" w:type="dxa"/>
            <w:vAlign w:val="top"/>
          </w:tcPr>
          <w:p>
            <w:pPr>
              <w:pStyle w:val="0"/>
              <w:rPr>
                <w:rFonts w:hint="default" w:ascii="ＭＳ 明朝" w:hAnsi="ＭＳ 明朝"/>
                <w:color w:val="auto"/>
              </w:rPr>
            </w:pPr>
            <w:r>
              <w:rPr>
                <w:rFonts w:hint="eastAsia" w:ascii="ＭＳ 明朝" w:hAnsi="ＭＳ 明朝"/>
                <w:color w:val="auto"/>
              </w:rPr>
              <w:t>カンバ・ドロノキ・ハンノキ（天然林を含む）</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30</w:t>
            </w:r>
          </w:p>
        </w:tc>
      </w:tr>
      <w:tr>
        <w:trPr>
          <w:trHeight w:val="297" w:hRule="atLeast"/>
        </w:trPr>
        <w:tc>
          <w:tcPr>
            <w:tcW w:w="551" w:type="dxa"/>
            <w:vMerge w:val="continue"/>
            <w:vAlign w:val="center"/>
          </w:tcPr>
          <w:p>
            <w:pPr>
              <w:pStyle w:val="0"/>
              <w:rPr>
                <w:rFonts w:hint="default"/>
              </w:rPr>
            </w:pPr>
          </w:p>
        </w:tc>
        <w:tc>
          <w:tcPr>
            <w:tcW w:w="5459" w:type="dxa"/>
            <w:vAlign w:val="top"/>
          </w:tcPr>
          <w:p>
            <w:pPr>
              <w:pStyle w:val="0"/>
              <w:rPr>
                <w:rFonts w:hint="default" w:ascii="ＭＳ 明朝" w:hAnsi="ＭＳ 明朝"/>
                <w:color w:val="auto"/>
              </w:rPr>
            </w:pPr>
            <w:r>
              <w:rPr>
                <w:rFonts w:hint="eastAsia" w:ascii="ＭＳ 明朝" w:hAnsi="ＭＳ 明朝"/>
                <w:color w:val="auto"/>
              </w:rPr>
              <w:t>その他広葉樹</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40</w:t>
            </w:r>
          </w:p>
        </w:tc>
      </w:tr>
      <w:tr>
        <w:trPr>
          <w:trHeight w:val="297" w:hRule="atLeast"/>
        </w:trPr>
        <w:tc>
          <w:tcPr>
            <w:tcW w:w="551" w:type="dxa"/>
            <w:vMerge w:val="restart"/>
            <w:vAlign w:val="center"/>
          </w:tcPr>
          <w:p>
            <w:pPr>
              <w:pStyle w:val="0"/>
              <w:jc w:val="center"/>
              <w:rPr>
                <w:rFonts w:hint="default" w:ascii="ＭＳ 明朝" w:hAnsi="ＭＳ 明朝"/>
                <w:color w:val="auto"/>
              </w:rPr>
            </w:pPr>
            <w:r>
              <w:rPr>
                <w:rFonts w:hint="eastAsia" w:ascii="ＭＳ 明朝" w:hAnsi="ＭＳ 明朝"/>
                <w:color w:val="auto"/>
              </w:rPr>
              <w:t>天</w:t>
            </w:r>
          </w:p>
          <w:p>
            <w:pPr>
              <w:pStyle w:val="0"/>
              <w:jc w:val="center"/>
              <w:rPr>
                <w:rFonts w:hint="default" w:ascii="ＭＳ 明朝" w:hAnsi="ＭＳ 明朝"/>
                <w:color w:val="auto"/>
              </w:rPr>
            </w:pPr>
            <w:r>
              <w:rPr>
                <w:rFonts w:hint="eastAsia" w:ascii="ＭＳ 明朝" w:hAnsi="ＭＳ 明朝"/>
                <w:color w:val="auto"/>
              </w:rPr>
              <w:t>然</w:t>
            </w:r>
          </w:p>
          <w:p>
            <w:pPr>
              <w:pStyle w:val="0"/>
              <w:jc w:val="center"/>
              <w:rPr>
                <w:rFonts w:hint="default" w:ascii="ＭＳ 明朝" w:hAnsi="ＭＳ 明朝"/>
                <w:color w:val="auto"/>
              </w:rPr>
            </w:pPr>
            <w:r>
              <w:rPr>
                <w:rFonts w:hint="eastAsia" w:ascii="ＭＳ 明朝" w:hAnsi="ＭＳ 明朝"/>
                <w:color w:val="auto"/>
              </w:rPr>
              <w:t>林</w:t>
            </w:r>
          </w:p>
        </w:tc>
        <w:tc>
          <w:tcPr>
            <w:tcW w:w="5459" w:type="dxa"/>
            <w:vAlign w:val="top"/>
          </w:tcPr>
          <w:p>
            <w:pPr>
              <w:pStyle w:val="0"/>
              <w:jc w:val="left"/>
              <w:rPr>
                <w:rFonts w:hint="default" w:ascii="ＭＳ 明朝" w:hAnsi="ＭＳ 明朝"/>
                <w:color w:val="auto"/>
              </w:rPr>
            </w:pPr>
            <w:r>
              <w:rPr>
                <w:rFonts w:hint="eastAsia" w:ascii="ＭＳ 明朝" w:hAnsi="ＭＳ 明朝"/>
                <w:color w:val="auto"/>
              </w:rPr>
              <w:t>主として天然下種によって生立する針葉樹</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60</w:t>
            </w:r>
          </w:p>
        </w:tc>
      </w:tr>
      <w:tr>
        <w:trPr>
          <w:trHeight w:val="297" w:hRule="atLeast"/>
        </w:trPr>
        <w:tc>
          <w:tcPr>
            <w:tcW w:w="551" w:type="dxa"/>
            <w:vMerge w:val="continue"/>
            <w:vAlign w:val="center"/>
          </w:tcPr>
          <w:p>
            <w:pPr>
              <w:pStyle w:val="0"/>
              <w:jc w:val="center"/>
              <w:rPr>
                <w:rFonts w:hint="default" w:ascii="ＭＳ 明朝" w:hAnsi="ＭＳ 明朝"/>
              </w:rPr>
            </w:pPr>
          </w:p>
        </w:tc>
        <w:tc>
          <w:tcPr>
            <w:tcW w:w="5459" w:type="dxa"/>
            <w:vAlign w:val="top"/>
          </w:tcPr>
          <w:p>
            <w:pPr>
              <w:pStyle w:val="0"/>
              <w:ind w:firstLine="840" w:firstLineChars="400"/>
              <w:rPr>
                <w:rFonts w:hint="default" w:ascii="ＭＳ 明朝" w:hAnsi="ＭＳ 明朝"/>
                <w:color w:val="auto"/>
              </w:rPr>
            </w:pPr>
            <w:r>
              <w:rPr>
                <w:rFonts w:hint="eastAsia" w:ascii="ＭＳ 明朝" w:hAnsi="ＭＳ 明朝"/>
                <w:color w:val="auto"/>
              </w:rPr>
              <w:t>〃　　　　　　　　　　　広葉樹</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80</w:t>
            </w:r>
          </w:p>
        </w:tc>
      </w:tr>
      <w:tr>
        <w:trPr>
          <w:trHeight w:val="297" w:hRule="atLeast"/>
        </w:trPr>
        <w:tc>
          <w:tcPr>
            <w:tcW w:w="551" w:type="dxa"/>
            <w:vMerge w:val="continue"/>
            <w:vAlign w:val="center"/>
          </w:tcPr>
          <w:p>
            <w:pPr>
              <w:pStyle w:val="0"/>
              <w:jc w:val="center"/>
              <w:rPr>
                <w:rFonts w:hint="default" w:ascii="ＭＳ 明朝" w:hAnsi="ＭＳ 明朝"/>
              </w:rPr>
            </w:pPr>
          </w:p>
        </w:tc>
        <w:tc>
          <w:tcPr>
            <w:tcW w:w="5459" w:type="dxa"/>
            <w:vAlign w:val="top"/>
          </w:tcPr>
          <w:p>
            <w:pPr>
              <w:pStyle w:val="0"/>
              <w:rPr>
                <w:rFonts w:hint="default" w:ascii="ＭＳ 明朝" w:hAnsi="ＭＳ 明朝"/>
                <w:color w:val="auto"/>
              </w:rPr>
            </w:pPr>
            <w:r>
              <w:rPr>
                <w:rFonts w:hint="eastAsia" w:ascii="ＭＳ 明朝" w:hAnsi="ＭＳ 明朝"/>
                <w:color w:val="auto"/>
              </w:rPr>
              <w:t>主としてぼう芽によって生立する広葉樹</w:t>
            </w:r>
            <w:r>
              <w:rPr>
                <w:rFonts w:hint="eastAsia" w:ascii="ＭＳ 明朝" w:hAnsi="ＭＳ 明朝"/>
                <w:color w:val="auto"/>
                <w:vertAlign w:val="superscript"/>
              </w:rPr>
              <w:t>（注）</w:t>
            </w:r>
          </w:p>
        </w:tc>
        <w:tc>
          <w:tcPr>
            <w:tcW w:w="1140" w:type="dxa"/>
            <w:vAlign w:val="center"/>
          </w:tcPr>
          <w:p>
            <w:pPr>
              <w:pStyle w:val="0"/>
              <w:jc w:val="center"/>
              <w:rPr>
                <w:rFonts w:hint="default" w:ascii="ＭＳ 明朝" w:hAnsi="ＭＳ 明朝"/>
                <w:color w:val="auto"/>
              </w:rPr>
            </w:pPr>
            <w:r>
              <w:rPr>
                <w:rFonts w:hint="eastAsia" w:ascii="ＭＳ 明朝" w:hAnsi="ＭＳ 明朝"/>
                <w:color w:val="auto"/>
              </w:rPr>
              <w:t>25</w:t>
            </w:r>
          </w:p>
        </w:tc>
      </w:tr>
    </w:tbl>
    <w:p>
      <w:pPr>
        <w:pStyle w:val="0"/>
        <w:ind w:left="210" w:leftChars="-100" w:hanging="420" w:hangingChars="200"/>
        <w:rPr>
          <w:rFonts w:hint="default" w:ascii="ＭＳ 明朝" w:hAnsi="ＭＳ 明朝"/>
          <w:color w:val="auto"/>
        </w:rPr>
      </w:pPr>
      <w:r>
        <w:rPr>
          <w:rFonts w:hint="eastAsia" w:ascii="ＭＳ 明朝" w:hAnsi="ＭＳ 明朝"/>
          <w:color w:val="auto"/>
        </w:rPr>
        <w:t>　　　　（注）「主としてぼう芽によって生立する広葉樹」とは、薪炭材、ほだ木等の原木生産を目的と</w:t>
      </w:r>
    </w:p>
    <w:p>
      <w:pPr>
        <w:pStyle w:val="0"/>
        <w:ind w:left="-420" w:leftChars="-200" w:firstLine="1680" w:firstLineChars="800"/>
        <w:rPr>
          <w:rFonts w:hint="default" w:ascii="ＭＳ 明朝" w:hAnsi="ＭＳ 明朝"/>
          <w:color w:val="auto"/>
        </w:rPr>
      </w:pPr>
      <w:r>
        <w:rPr>
          <w:rFonts w:hint="eastAsia" w:ascii="ＭＳ 明朝" w:hAnsi="ＭＳ 明朝"/>
          <w:color w:val="auto"/>
        </w:rPr>
        <w:t>して、ぼう芽によって更新を図る広葉樹をいいます。</w:t>
      </w:r>
    </w:p>
    <w:p>
      <w:pPr>
        <w:pStyle w:val="0"/>
        <w:ind w:left="-420" w:leftChars="-200" w:firstLine="1680" w:firstLineChars="8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その他必要な事項</w:t>
      </w:r>
    </w:p>
    <w:p>
      <w:pPr>
        <w:pStyle w:val="0"/>
        <w:numPr>
          <w:ilvl w:val="0"/>
          <w:numId w:val="1"/>
        </w:numPr>
        <w:rPr>
          <w:rFonts w:hint="default" w:ascii="ＭＳ 明朝" w:hAnsi="ＭＳ 明朝"/>
          <w:color w:val="auto"/>
        </w:rPr>
      </w:pPr>
      <w:r>
        <w:rPr>
          <w:rFonts w:hint="eastAsia" w:ascii="ＭＳ 明朝" w:hAnsi="ＭＳ 明朝"/>
          <w:color w:val="auto"/>
        </w:rPr>
        <w:t>　木材等生産林に関する留意事項</w:t>
      </w:r>
    </w:p>
    <w:p>
      <w:pPr>
        <w:pStyle w:val="0"/>
        <w:ind w:left="630" w:leftChars="200" w:hanging="210" w:hangingChars="100"/>
        <w:rPr>
          <w:rFonts w:hint="default" w:ascii="ＭＳ 明朝" w:hAnsi="ＭＳ 明朝"/>
          <w:color w:val="auto"/>
        </w:rPr>
      </w:pPr>
      <w:r>
        <w:rPr>
          <w:rFonts w:hint="eastAsia" w:ascii="ＭＳ 明朝" w:hAnsi="ＭＳ 明朝"/>
          <w:color w:val="auto"/>
        </w:rPr>
        <w:t>ア　適切な人工林資源の循環利用を維持するため、高齢級間伐等も取り入れた長伐期施業も取り入れ、資源の平準化を図ることとします。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なお、長伐期施業を実施する林分の選定にあたっては、地位が高く、間伐による適切に密度管理を行ってきた箇所や風雪害が少ない地域を選択するなど、長伐期施業の導入が可能な林分であるかを判断しながら進めることとします。</w:t>
      </w:r>
    </w:p>
    <w:p>
      <w:pPr>
        <w:pStyle w:val="0"/>
        <w:ind w:left="630" w:leftChars="200" w:hanging="210" w:hangingChars="100"/>
        <w:rPr>
          <w:rFonts w:hint="default" w:ascii="ＭＳ 明朝" w:hAnsi="ＭＳ 明朝"/>
          <w:color w:val="auto"/>
        </w:rPr>
      </w:pPr>
      <w:r>
        <w:rPr>
          <w:rFonts w:hint="eastAsia" w:ascii="ＭＳ 明朝" w:hAnsi="ＭＳ 明朝"/>
          <w:color w:val="auto"/>
        </w:rPr>
        <w:t>イ　林地の保全、雪崩及び落石等の防止、寒風害等の各種被害の防止、風致の維持、渓流周辺等の生物多様性の保全などのために必要がある場合には、所要の保護樹帯を設置することとします。</w:t>
      </w:r>
    </w:p>
    <w:p>
      <w:pPr>
        <w:pStyle w:val="0"/>
        <w:ind w:left="630" w:leftChars="200" w:hanging="210" w:hangingChars="100"/>
        <w:rPr>
          <w:rFonts w:hint="default" w:ascii="ＭＳ 明朝" w:hAnsi="ＭＳ 明朝"/>
          <w:color w:val="auto"/>
        </w:rPr>
      </w:pPr>
      <w:r>
        <w:rPr>
          <w:rFonts w:hint="eastAsia" w:ascii="ＭＳ 明朝" w:hAnsi="ＭＳ 明朝"/>
          <w:color w:val="auto"/>
        </w:rPr>
        <w:t>ウ　次の地域は林地崩壊や生態系のかく乱などにつながるおそれがあり、また伐採後の更新が困難なことから、皆伐を行わないよう努めることとします。</w:t>
      </w:r>
    </w:p>
    <w:p>
      <w:pPr>
        <w:pStyle w:val="0"/>
        <w:ind w:firstLine="630" w:firstLineChars="300"/>
        <w:rPr>
          <w:rFonts w:hint="default" w:ascii="ＭＳ 明朝" w:hAnsi="ＭＳ 明朝"/>
          <w:color w:val="auto"/>
        </w:rPr>
      </w:pPr>
      <w:r>
        <w:rPr>
          <w:rFonts w:hint="eastAsia" w:ascii="ＭＳ 明朝" w:hAnsi="ＭＳ 明朝"/>
          <w:color w:val="auto"/>
        </w:rPr>
        <w:t>（ア）　健全な更新が困難な湿地・風衝地・岩石地等</w:t>
      </w:r>
    </w:p>
    <w:p>
      <w:pPr>
        <w:pStyle w:val="0"/>
        <w:ind w:firstLine="630" w:firstLineChars="300"/>
        <w:rPr>
          <w:rFonts w:hint="default" w:ascii="ＭＳ 明朝" w:hAnsi="ＭＳ 明朝"/>
          <w:color w:val="auto"/>
        </w:rPr>
      </w:pPr>
      <w:r>
        <w:rPr>
          <w:rFonts w:hint="eastAsia" w:ascii="ＭＳ 明朝" w:hAnsi="ＭＳ 明朝"/>
          <w:color w:val="auto"/>
        </w:rPr>
        <w:t>（イ）　土砂の流出や崩壊が発生するおそれがある急傾斜地・石礫地・沢沿い等</w:t>
      </w:r>
    </w:p>
    <w:p>
      <w:pPr>
        <w:pStyle w:val="0"/>
        <w:ind w:left="1365" w:leftChars="300" w:hanging="735" w:hangingChars="350"/>
        <w:rPr>
          <w:rFonts w:hint="default" w:ascii="ＭＳ 明朝" w:hAnsi="ＭＳ 明朝"/>
          <w:color w:val="auto"/>
        </w:rPr>
      </w:pPr>
      <w:r>
        <w:rPr>
          <w:rFonts w:hint="eastAsia" w:ascii="ＭＳ 明朝" w:hAnsi="ＭＳ 明朝"/>
          <w:color w:val="auto"/>
        </w:rPr>
        <w:t>（ウ）　野生生物の生息・生育の場の提供、水質浄化、土砂や濁水の流入制御等の機能を持つ河川や湖沼周辺の水辺林等</w:t>
      </w:r>
    </w:p>
    <w:p>
      <w:pPr>
        <w:pStyle w:val="0"/>
        <w:ind w:left="630" w:hanging="630" w:hangingChars="300"/>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エ　伐採作業等に伴う立木への損傷は、将来的に腐朽菌被害の発生につながるおそれが高いことから、伐採等にあたっては、必要に応じて保護板（あて木）を設置するほか、機械の林内走行の範囲を森林作業道・集材路に限定するなどにより、伐採しない立木への損傷をできる限り減らす作業に努めることとします。</w:t>
      </w:r>
    </w:p>
    <w:p>
      <w:pPr>
        <w:pStyle w:val="0"/>
        <w:ind w:left="615" w:leftChars="193" w:hanging="210" w:hangingChars="100"/>
        <w:rPr>
          <w:rFonts w:hint="default" w:ascii="ＭＳ 明朝" w:hAnsi="ＭＳ 明朝"/>
          <w:color w:val="auto"/>
        </w:rPr>
      </w:pPr>
      <w:r>
        <w:rPr>
          <w:rFonts w:hint="eastAsia" w:ascii="ＭＳ 明朝" w:hAnsi="ＭＳ 明朝"/>
          <w:color w:val="auto"/>
        </w:rPr>
        <w:t>オ　伐採等にあたっては、降雨等による土砂や汚濁水の流出防止に努めるとともに、伐採作業の途中であっても大雨が予想される場合等には、必要に応じて集材路等に排水路を作設するなど、浸食防止に努める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なお、水道取水施設の上流で造材を行う場合等で、降雨等により河川の汚濁が懸念される場合は、伐採や搬出を冬期間に行うなど、実施時期や方法に配慮することとします。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また、特に河川周辺で造材を実施する場合は、増水時に枝条や残材等が流出して流木被害の一要因とならないよう、十分に留意することとします。</w:t>
      </w:r>
    </w:p>
    <w:p>
      <w:pPr>
        <w:pStyle w:val="0"/>
        <w:ind w:firstLine="420" w:firstLineChars="200"/>
        <w:rPr>
          <w:rFonts w:hint="default" w:ascii="ＭＳ 明朝" w:hAnsi="ＭＳ 明朝"/>
          <w:strike w:val="1"/>
          <w:color w:val="auto"/>
        </w:rPr>
      </w:pPr>
    </w:p>
    <w:p>
      <w:pPr>
        <w:pStyle w:val="0"/>
        <w:ind w:left="630" w:leftChars="200" w:hanging="210" w:hangingChars="100"/>
        <w:rPr>
          <w:rFonts w:hint="default" w:ascii="ＭＳ 明朝" w:hAnsi="ＭＳ 明朝"/>
          <w:color w:val="auto"/>
        </w:rPr>
      </w:pPr>
      <w:r>
        <w:rPr>
          <w:rFonts w:hint="eastAsia" w:ascii="ＭＳ 明朝" w:hAnsi="ＭＳ 明朝"/>
          <w:color w:val="auto"/>
        </w:rPr>
        <w:t>カ　特色ある森林景観や野生生物の生育・生息環境の保全に配慮した伐採を行うこととします。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特に、クマゲラ、シマフクロウ及びクマタカの希少鳥類等について、営巣木が確認された場合、その営巣木の位置や営巣期間等に配慮し、伐採の内容や伐採の時期の調整を行うこととします。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また、地域にとって重要で特色ある防風林は、耕作地の保全や農村景観・生活環境の維持のほか、野生生物の生息場所や移動経路としての生物多様性保全機能の役割も担っていることから、これらの多面的機能を高度発揮させるために防風林の連続性が保たれるよう配慮します。</w:t>
      </w:r>
    </w:p>
    <w:p>
      <w:pPr>
        <w:pStyle w:val="0"/>
        <w:ind w:left="630" w:leftChars="200" w:hanging="210" w:hangingChars="100"/>
        <w:rPr>
          <w:rFonts w:hint="default" w:ascii="ＭＳ 明朝" w:hAnsi="ＭＳ 明朝"/>
          <w:color w:val="000000" w:themeColor="text1"/>
          <w:u w:val="none" w:color="auto"/>
        </w:rPr>
      </w:pPr>
      <w:r>
        <w:rPr>
          <w:rFonts w:hint="eastAsia" w:ascii="ＭＳ 明朝" w:hAnsi="ＭＳ 明朝"/>
          <w:color w:val="auto"/>
        </w:rPr>
        <w:t>キ　集材路とは、立木の伐採、搬出等のために林業機械等が一時的に走行することを目的として作設される仮施設をいい、規格は森林作業道と同等かそれ以下とします。土場とは、集材路を使用して木材等を搬出するため、木材等を一時的に集積し、積込みの作業等を行</w:t>
      </w:r>
      <w:r>
        <w:rPr>
          <w:rFonts w:hint="eastAsia" w:ascii="ＭＳ 明朝" w:hAnsi="ＭＳ 明朝"/>
          <w:color w:val="000000" w:themeColor="text1"/>
          <w:u w:val="none" w:color="auto"/>
        </w:rPr>
        <w:t>う場所をいい、集材路・土場は、使用後は原則植栽等により植生の回復を促します。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第２　造林に関する事項</w:t>
      </w:r>
    </w:p>
    <w:p>
      <w:pPr>
        <w:pStyle w:val="0"/>
        <w:rPr>
          <w:rFonts w:hint="default" w:ascii="ＭＳ 明朝" w:hAnsi="ＭＳ 明朝"/>
          <w:color w:val="auto"/>
        </w:rPr>
      </w:pPr>
      <w:r>
        <w:rPr>
          <w:rFonts w:hint="eastAsia" w:ascii="ＭＳ 明朝" w:hAnsi="ＭＳ 明朝"/>
          <w:color w:val="auto"/>
        </w:rPr>
        <w:t>１　人工造林に関する事項</w:t>
      </w:r>
    </w:p>
    <w:p>
      <w:pPr>
        <w:pStyle w:val="0"/>
        <w:ind w:left="210" w:hanging="210" w:hangingChars="100"/>
        <w:rPr>
          <w:rFonts w:hint="default" w:ascii="ＭＳ 明朝" w:hAnsi="ＭＳ 明朝"/>
          <w:color w:val="auto"/>
        </w:rPr>
      </w:pPr>
      <w:r>
        <w:rPr>
          <w:rFonts w:hint="eastAsia" w:ascii="ＭＳ 明朝" w:hAnsi="ＭＳ 明朝"/>
          <w:color w:val="auto"/>
        </w:rPr>
        <w:t>　　Ⅰの２の森林整備の基本方針を踏まえ、適切な森林整備方法により、人工造林をすることとします。</w:t>
      </w:r>
    </w:p>
    <w:p>
      <w:pPr>
        <w:pStyle w:val="0"/>
        <w:ind w:left="210" w:leftChars="100"/>
        <w:rPr>
          <w:rFonts w:hint="default" w:ascii="ＭＳ 明朝" w:hAnsi="ＭＳ 明朝"/>
          <w:color w:val="auto"/>
        </w:rPr>
      </w:pPr>
      <w:r>
        <w:rPr>
          <w:rFonts w:hint="eastAsia" w:ascii="ＭＳ 明朝" w:hAnsi="ＭＳ 明朝"/>
          <w:color w:val="auto"/>
        </w:rPr>
        <w:t>（１）　人工造林の対象樹種</w:t>
      </w:r>
    </w:p>
    <w:p>
      <w:pPr>
        <w:pStyle w:val="0"/>
        <w:ind w:left="630" w:leftChars="200" w:hanging="210" w:hangingChars="100"/>
        <w:rPr>
          <w:rFonts w:hint="default" w:ascii="ＭＳ 明朝" w:hAnsi="ＭＳ 明朝"/>
          <w:color w:val="auto"/>
        </w:rPr>
      </w:pPr>
      <w:r>
        <w:rPr>
          <w:rFonts w:hint="eastAsia" w:ascii="ＭＳ 明朝" w:hAnsi="ＭＳ 明朝"/>
          <w:color w:val="auto"/>
        </w:rPr>
        <w:t>ア　人工造林の対象樹種は、気候、地形、地質、土壌等の自然条件への適合、樹種の特質、既往の成林状況など適地適木を基本とし、地域における造林種苗の需給動向、木材需給等にも配慮することとし、苗木の選定については、成長に優れた特定苗木等の積極的な使用に努めることとし、次表のとおり定め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なお、その他郷土樹種及び定めた樹種以外の樹種を植栽しようとする場合は、林業普及指導員等と相談の上、適切な樹種を選定することに努めることとします。</w:t>
      </w:r>
    </w:p>
    <w:p>
      <w:pPr>
        <w:pStyle w:val="0"/>
        <w:ind w:left="570" w:firstLine="210" w:firstLineChars="100"/>
        <w:rPr>
          <w:rFonts w:hint="default" w:ascii="ＭＳ 明朝" w:hAnsi="ＭＳ 明朝"/>
          <w:color w:val="auto"/>
        </w:rPr>
      </w:pPr>
    </w:p>
    <w:tbl>
      <w:tblPr>
        <w:tblStyle w:val="11"/>
        <w:tblW w:w="7711" w:type="dxa"/>
        <w:tblInd w:w="1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711"/>
      </w:tblGrid>
      <w:tr>
        <w:trPr>
          <w:trHeight w:val="375" w:hRule="atLeast"/>
        </w:trPr>
        <w:tc>
          <w:tcPr>
            <w:tcW w:w="7711" w:type="dxa"/>
            <w:vAlign w:val="center"/>
          </w:tcPr>
          <w:p>
            <w:pPr>
              <w:pStyle w:val="0"/>
              <w:jc w:val="center"/>
              <w:rPr>
                <w:rFonts w:hint="default" w:ascii="ＭＳ 明朝" w:hAnsi="ＭＳ 明朝"/>
                <w:color w:val="auto"/>
              </w:rPr>
            </w:pPr>
            <w:r>
              <w:rPr>
                <w:rFonts w:hint="eastAsia" w:ascii="ＭＳ 明朝" w:hAnsi="ＭＳ 明朝"/>
                <w:color w:val="auto"/>
              </w:rPr>
              <w:t>人工造林の対象樹種</w:t>
            </w:r>
          </w:p>
        </w:tc>
      </w:tr>
      <w:tr>
        <w:trPr>
          <w:trHeight w:val="819" w:hRule="atLeast"/>
        </w:trPr>
        <w:tc>
          <w:tcPr>
            <w:tcW w:w="7711" w:type="dxa"/>
            <w:vAlign w:val="center"/>
          </w:tcPr>
          <w:p>
            <w:pPr>
              <w:pStyle w:val="0"/>
              <w:rPr>
                <w:rFonts w:hint="default" w:ascii="ＭＳ 明朝" w:hAnsi="ＭＳ 明朝"/>
                <w:color w:val="auto"/>
              </w:rPr>
            </w:pPr>
            <w:r>
              <w:rPr>
                <w:rFonts w:hint="eastAsia" w:ascii="ＭＳ 明朝" w:hAnsi="ＭＳ 明朝"/>
                <w:color w:val="auto"/>
              </w:rPr>
              <w:t>カラマツ、トドマツ、エゾマツ、アカエゾマツ、グイマツ（雑種</w:t>
            </w:r>
            <w:r>
              <w:rPr>
                <w:rFonts w:hint="eastAsia" w:ascii="ＭＳ 明朝" w:hAnsi="ＭＳ 明朝"/>
                <w:color w:val="auto"/>
              </w:rPr>
              <w:t>F1</w:t>
            </w:r>
            <w:r>
              <w:rPr>
                <w:rFonts w:hint="eastAsia" w:ascii="ＭＳ 明朝" w:hAnsi="ＭＳ 明朝"/>
                <w:color w:val="auto"/>
              </w:rPr>
              <w:t>を含む）、</w:t>
            </w:r>
          </w:p>
          <w:p>
            <w:pPr>
              <w:pStyle w:val="0"/>
              <w:rPr>
                <w:rFonts w:hint="default" w:ascii="ＭＳ 明朝" w:hAnsi="ＭＳ 明朝"/>
                <w:color w:val="auto"/>
              </w:rPr>
            </w:pPr>
            <w:r>
              <w:rPr>
                <w:rFonts w:hint="eastAsia" w:ascii="ＭＳ 明朝" w:hAnsi="ＭＳ 明朝"/>
                <w:color w:val="auto"/>
              </w:rPr>
              <w:t>カンバ類、ミズナラ、ヤチダモ、ハルニレ、カツラ、ハンノキ、その他郷土樹種</w:t>
            </w:r>
          </w:p>
        </w:tc>
      </w:tr>
    </w:tbl>
    <w:p>
      <w:pPr>
        <w:pStyle w:val="0"/>
        <w:rPr>
          <w:rFonts w:hint="default" w:ascii="ＭＳ 明朝" w:hAnsi="ＭＳ 明朝"/>
          <w:color w:val="auto"/>
        </w:rPr>
      </w:pPr>
    </w:p>
    <w:p>
      <w:pPr>
        <w:pStyle w:val="0"/>
        <w:ind w:left="630" w:leftChars="200" w:hanging="210" w:hangingChars="100"/>
        <w:rPr>
          <w:rFonts w:hint="default" w:ascii="ＭＳ 明朝" w:hAnsi="ＭＳ 明朝"/>
          <w:color w:val="auto"/>
        </w:rPr>
      </w:pPr>
      <w:r>
        <w:rPr>
          <w:rFonts w:hint="eastAsia" w:ascii="ＭＳ 明朝" w:hAnsi="ＭＳ 明朝"/>
          <w:color w:val="auto"/>
        </w:rPr>
        <w:t>イ　多様な森林の整備を図る観点から、広葉樹や郷土樹種を含め、樹種の選定は幅広く検討します。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特に河川沿いについては河川の水質浄化や落葉等による有機物の供給などが期待できることから、広葉樹の積極的な植栽に努めることとします。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なお、山腹崩壊の危険性の高い急傾斜地や沢沿いについては、カツラやミズナラ等、深根性で根系の支持力が大きい樹種の植栽について検討することとします。</w:t>
      </w:r>
    </w:p>
    <w:p>
      <w:pPr>
        <w:pStyle w:val="0"/>
        <w:ind w:firstLine="420" w:firstLineChars="200"/>
        <w:rPr>
          <w:rFonts w:hint="default" w:ascii="ＭＳ 明朝" w:hAnsi="ＭＳ 明朝"/>
          <w:color w:val="auto"/>
        </w:rPr>
      </w:pPr>
      <w:r>
        <w:rPr>
          <w:rFonts w:hint="eastAsia" w:ascii="ＭＳ 明朝" w:hAnsi="ＭＳ 明朝"/>
          <w:color w:val="auto"/>
        </w:rPr>
        <w:t>ウ　育成複層林へ誘導する林分については、樹種の耐陰性や既往の成林状況、自然条件等を勘案し、</w:t>
      </w:r>
    </w:p>
    <w:p>
      <w:pPr>
        <w:pStyle w:val="0"/>
        <w:ind w:firstLine="630" w:firstLineChars="300"/>
        <w:rPr>
          <w:rFonts w:hint="default" w:ascii="ＭＳ 明朝" w:hAnsi="ＭＳ 明朝"/>
          <w:color w:val="auto"/>
        </w:rPr>
      </w:pPr>
      <w:r>
        <w:rPr>
          <w:rFonts w:hint="eastAsia" w:ascii="ＭＳ 明朝" w:hAnsi="ＭＳ 明朝"/>
          <w:color w:val="auto"/>
        </w:rPr>
        <w:t>造林樹種を選定することとします。</w:t>
      </w:r>
    </w:p>
    <w:p>
      <w:pPr>
        <w:pStyle w:val="0"/>
        <w:ind w:left="630" w:leftChars="200" w:hanging="210" w:hangingChars="100"/>
        <w:rPr>
          <w:rFonts w:hint="default" w:ascii="ＭＳ 明朝" w:hAnsi="ＭＳ 明朝"/>
          <w:color w:val="auto"/>
        </w:rPr>
      </w:pPr>
      <w:r>
        <w:rPr>
          <w:rFonts w:hint="eastAsia" w:ascii="ＭＳ 明朝" w:hAnsi="ＭＳ 明朝"/>
          <w:color w:val="auto"/>
        </w:rPr>
        <w:t>エ　カラマツ人工林については、資源の保続及び健全な林業経営を図るため、伐採後の着実な造林を推進するとともに、カラマツの積極的な植栽及び優良な苗木の確保に努めることとします。</w:t>
      </w:r>
    </w:p>
    <w:p>
      <w:pPr>
        <w:pStyle w:val="0"/>
        <w:ind w:firstLine="210" w:firstLineChars="100"/>
        <w:rPr>
          <w:rFonts w:hint="default" w:ascii="ＭＳ 明朝" w:hAnsi="ＭＳ 明朝"/>
          <w:color w:val="auto"/>
        </w:rPr>
      </w:pPr>
      <w:r>
        <w:rPr>
          <w:rFonts w:hint="eastAsia" w:ascii="ＭＳ 明朝" w:hAnsi="ＭＳ 明朝"/>
          <w:color w:val="auto"/>
        </w:rPr>
        <w:t>（２）　人工造林の標準的な方法</w:t>
      </w:r>
    </w:p>
    <w:p>
      <w:pPr>
        <w:pStyle w:val="0"/>
        <w:ind w:firstLine="420" w:firstLineChars="200"/>
        <w:rPr>
          <w:rFonts w:hint="default" w:ascii="ＭＳ 明朝" w:hAnsi="ＭＳ 明朝"/>
          <w:color w:val="auto"/>
        </w:rPr>
      </w:pPr>
      <w:r>
        <w:rPr>
          <w:rFonts w:hint="eastAsia" w:ascii="ＭＳ 明朝" w:hAnsi="ＭＳ 明朝"/>
          <w:color w:val="auto"/>
        </w:rPr>
        <w:t>ア　育成単層林を導入または維持する森林</w:t>
      </w:r>
    </w:p>
    <w:p>
      <w:pPr>
        <w:pStyle w:val="0"/>
        <w:ind w:left="1260" w:leftChars="300" w:hanging="630" w:hangingChars="300"/>
        <w:rPr>
          <w:rFonts w:hint="default" w:ascii="ＭＳ 明朝" w:hAnsi="ＭＳ 明朝"/>
          <w:color w:val="auto"/>
        </w:rPr>
      </w:pPr>
      <w:r>
        <w:rPr>
          <w:rFonts w:hint="eastAsia" w:ascii="ＭＳ 明朝" w:hAnsi="ＭＳ 明朝"/>
          <w:color w:val="auto"/>
        </w:rPr>
        <w:t>（ア）　寒風害等の気象害や病虫害に考慮し、保護木・保護樹帯の配置、同一樹種の大面積造林の回避など、多様な森林の整備に配慮して行うこととし、適確な更新により裸地状態を早急に解消するため、気候、地形、地質、土壌等の自然条件に適合した樹種を早期に植栽することとします。また、効果的な施業実施の観点から、技術的合理性に基づき、伐採と造林の一貫作業システムの導入に努めることとします。</w:t>
      </w:r>
    </w:p>
    <w:p>
      <w:pPr>
        <w:pStyle w:val="0"/>
        <w:spacing w:line="320" w:lineRule="exact"/>
        <w:ind w:left="1260" w:leftChars="600"/>
        <w:rPr>
          <w:rFonts w:hint="default" w:ascii="ＭＳ 明朝" w:hAnsi="ＭＳ 明朝"/>
          <w:color w:val="auto"/>
        </w:rPr>
      </w:pPr>
      <w:r>
        <w:rPr>
          <w:rFonts w:hint="eastAsia" w:ascii="ＭＳ 明朝" w:hAnsi="ＭＳ 明朝"/>
          <w:color w:val="auto"/>
        </w:rPr>
        <w:t>特に、水源</w:t>
      </w:r>
      <w:r>
        <w:rPr>
          <w:rFonts w:hint="eastAsia" w:ascii="ＭＳ 明朝" w:hAnsi="ＭＳ 明朝"/>
          <w:color w:val="auto"/>
        </w:rPr>
        <w:fldChar w:fldCharType="begin"/>
      </w:r>
      <w:r>
        <w:rPr>
          <w:rFonts w:hint="eastAsia" w:ascii="ＭＳ 明朝" w:hAnsi="ＭＳ 明朝"/>
          <w:color w:val="auto"/>
        </w:rPr>
        <w:instrText>EQ \* jc2 \* hps10 \o\ad(\s\up 9(</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rPr>
        <w:instrText>),</w:instrText>
      </w:r>
      <w:r>
        <w:rPr>
          <w:rFonts w:hint="eastAsia" w:ascii="ＭＳ 明朝" w:hAnsi="ＭＳ 明朝"/>
          <w:color w:val="auto"/>
        </w:rPr>
        <w:instrText>涵</w:instrText>
      </w:r>
      <w:r>
        <w:rPr>
          <w:rFonts w:hint="eastAsia" w:ascii="ＭＳ 明朝" w:hAnsi="ＭＳ 明朝"/>
          <w:color w:val="auto"/>
        </w:rPr>
        <w:instrText>)</w:instrText>
      </w:r>
      <w:r>
        <w:rPr>
          <w:rFonts w:hint="eastAsia" w:ascii="ＭＳ 明朝" w:hAnsi="ＭＳ 明朝"/>
          <w:color w:val="auto"/>
        </w:rPr>
        <w:fldChar w:fldCharType="end"/>
      </w:r>
      <w:r>
        <w:rPr>
          <w:rFonts w:hint="eastAsia" w:ascii="ＭＳ 明朝" w:hAnsi="ＭＳ 明朝"/>
          <w:color w:val="auto"/>
        </w:rPr>
        <w:t>養林、山地災害防止林にあっては、林地の安定化を目的とした無立木地への植栽を積極的に行うこととします。</w:t>
      </w:r>
    </w:p>
    <w:p>
      <w:pPr>
        <w:pStyle w:val="0"/>
        <w:ind w:left="1260" w:leftChars="300" w:hanging="630" w:hangingChars="300"/>
        <w:rPr>
          <w:rFonts w:hint="default" w:ascii="ＭＳ 明朝" w:hAnsi="ＭＳ 明朝"/>
          <w:color w:val="auto"/>
        </w:rPr>
      </w:pPr>
      <w:r>
        <w:rPr>
          <w:rFonts w:hint="eastAsia" w:ascii="ＭＳ 明朝" w:hAnsi="ＭＳ 明朝"/>
          <w:color w:val="auto"/>
        </w:rPr>
        <w:t>（イ）　効率的な施業実施の観点から、技術的合理性に基づき、コンテナ苗の活用や伐採と造林の一貫作業についても努めることとします。</w:t>
      </w:r>
    </w:p>
    <w:p>
      <w:pPr>
        <w:pStyle w:val="0"/>
        <w:ind w:left="1260" w:leftChars="300" w:hanging="630" w:hangingChars="300"/>
        <w:rPr>
          <w:rFonts w:hint="default" w:ascii="ＭＳ 明朝" w:hAnsi="ＭＳ 明朝"/>
          <w:color w:val="auto"/>
        </w:rPr>
      </w:pPr>
      <w:r>
        <w:rPr>
          <w:rFonts w:hint="eastAsia" w:ascii="ＭＳ 明朝" w:hAnsi="ＭＳ 明朝"/>
          <w:color w:val="auto"/>
        </w:rPr>
        <w:t>（ウ）　地拵えは、それぞれの地域の自然条件、植生及び過去の野ねずみ被害の状況等を考慮した上で、全刈りまたは筋刈りにより行うこととします。</w:t>
      </w:r>
    </w:p>
    <w:p>
      <w:pPr>
        <w:pStyle w:val="0"/>
        <w:ind w:left="1260" w:leftChars="400" w:hanging="420" w:hangingChars="200"/>
        <w:rPr>
          <w:rFonts w:hint="default" w:ascii="ＭＳ 明朝" w:hAnsi="ＭＳ 明朝"/>
          <w:color w:val="auto"/>
        </w:rPr>
      </w:pPr>
      <w:r>
        <w:rPr>
          <w:rFonts w:hint="eastAsia" w:ascii="ＭＳ 明朝" w:hAnsi="ＭＳ 明朝"/>
          <w:color w:val="auto"/>
        </w:rPr>
        <w:t>　　　なお、土砂の流出が懸念される急傾斜地等の場合は、全刈りを避け、刈払いの方向や枝条等の置き場に十分に留意することとします。</w:t>
      </w:r>
    </w:p>
    <w:p>
      <w:pPr>
        <w:pStyle w:val="0"/>
        <w:ind w:left="1260" w:leftChars="300" w:hanging="630" w:hangingChars="300"/>
        <w:rPr>
          <w:rFonts w:hint="default" w:ascii="ＭＳ 明朝" w:hAnsi="ＭＳ 明朝"/>
          <w:color w:val="auto"/>
        </w:rPr>
      </w:pPr>
      <w:r>
        <w:rPr>
          <w:rFonts w:hint="eastAsia" w:ascii="ＭＳ 明朝" w:hAnsi="ＭＳ 明朝"/>
          <w:color w:val="auto"/>
        </w:rPr>
        <w:t>（エ）　植栽時期は次のとおり春または秋植えとしますが、乾燥時期を避け、必要に応じて植え穴を大きくして植え付けるなど、苗木の活着と成長が十分図られるよう行うこととします。</w:t>
      </w:r>
    </w:p>
    <w:p>
      <w:pPr>
        <w:pStyle w:val="0"/>
        <w:ind w:firstLine="630" w:firstLineChars="300"/>
        <w:rPr>
          <w:rFonts w:hint="default" w:ascii="ＭＳ 明朝" w:hAnsi="ＭＳ 明朝"/>
          <w:color w:val="auto"/>
        </w:rPr>
      </w:pPr>
    </w:p>
    <w:tbl>
      <w:tblPr>
        <w:tblStyle w:val="11"/>
        <w:tblW w:w="7257" w:type="dxa"/>
        <w:tblInd w:w="1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02"/>
        <w:gridCol w:w="3656"/>
        <w:gridCol w:w="2299"/>
      </w:tblGrid>
      <w:tr>
        <w:trPr>
          <w:trHeight w:val="288" w:hRule="atLeast"/>
        </w:trPr>
        <w:tc>
          <w:tcPr>
            <w:tcW w:w="1302" w:type="dxa"/>
            <w:vAlign w:val="top"/>
          </w:tcPr>
          <w:p>
            <w:pPr>
              <w:pStyle w:val="0"/>
              <w:jc w:val="center"/>
              <w:rPr>
                <w:rFonts w:hint="default" w:ascii="ＭＳ 明朝" w:hAnsi="ＭＳ 明朝"/>
                <w:color w:val="auto"/>
              </w:rPr>
            </w:pPr>
            <w:r>
              <w:rPr>
                <w:rFonts w:hint="eastAsia" w:ascii="ＭＳ 明朝" w:hAnsi="ＭＳ 明朝"/>
                <w:color w:val="auto"/>
              </w:rPr>
              <w:t>植栽時期</w:t>
            </w:r>
          </w:p>
        </w:tc>
        <w:tc>
          <w:tcPr>
            <w:tcW w:w="3656" w:type="dxa"/>
            <w:vAlign w:val="top"/>
          </w:tcPr>
          <w:p>
            <w:pPr>
              <w:pStyle w:val="0"/>
              <w:jc w:val="center"/>
              <w:rPr>
                <w:rFonts w:hint="default" w:ascii="ＭＳ 明朝" w:hAnsi="ＭＳ 明朝"/>
                <w:color w:val="auto"/>
              </w:rPr>
            </w:pPr>
            <w:r>
              <w:rPr>
                <w:rFonts w:hint="eastAsia" w:ascii="ＭＳ 明朝" w:hAnsi="ＭＳ 明朝"/>
                <w:color w:val="auto"/>
              </w:rPr>
              <w:t>樹種</w:t>
            </w:r>
          </w:p>
        </w:tc>
        <w:tc>
          <w:tcPr>
            <w:tcW w:w="2299" w:type="dxa"/>
            <w:vAlign w:val="top"/>
          </w:tcPr>
          <w:p>
            <w:pPr>
              <w:pStyle w:val="0"/>
              <w:jc w:val="center"/>
              <w:rPr>
                <w:rFonts w:hint="default" w:ascii="ＭＳ 明朝" w:hAnsi="ＭＳ 明朝"/>
                <w:color w:val="auto"/>
              </w:rPr>
            </w:pPr>
            <w:r>
              <w:rPr>
                <w:rFonts w:hint="eastAsia" w:ascii="ＭＳ 明朝" w:hAnsi="ＭＳ 明朝"/>
                <w:color w:val="auto"/>
              </w:rPr>
              <w:t>植栽時期</w:t>
            </w:r>
          </w:p>
        </w:tc>
      </w:tr>
      <w:tr>
        <w:trPr>
          <w:trHeight w:val="351" w:hRule="atLeast"/>
        </w:trPr>
        <w:tc>
          <w:tcPr>
            <w:tcW w:w="1302" w:type="dxa"/>
            <w:vMerge w:val="restart"/>
            <w:vAlign w:val="center"/>
          </w:tcPr>
          <w:p>
            <w:pPr>
              <w:pStyle w:val="0"/>
              <w:jc w:val="center"/>
              <w:rPr>
                <w:rFonts w:hint="default" w:ascii="ＭＳ 明朝" w:hAnsi="ＭＳ 明朝"/>
                <w:color w:val="auto"/>
              </w:rPr>
            </w:pPr>
            <w:r>
              <w:rPr>
                <w:rFonts w:hint="eastAsia" w:ascii="ＭＳ 明朝" w:hAnsi="ＭＳ 明朝"/>
                <w:color w:val="auto"/>
              </w:rPr>
              <w:t>春植え</w:t>
            </w:r>
          </w:p>
        </w:tc>
        <w:tc>
          <w:tcPr>
            <w:tcW w:w="3656" w:type="dxa"/>
            <w:vAlign w:val="center"/>
          </w:tcPr>
          <w:p>
            <w:pPr>
              <w:pStyle w:val="0"/>
              <w:rPr>
                <w:rFonts w:hint="default" w:ascii="ＭＳ 明朝" w:hAnsi="ＭＳ 明朝"/>
                <w:color w:val="auto"/>
              </w:rPr>
            </w:pPr>
            <w:r>
              <w:rPr>
                <w:rFonts w:hint="eastAsia" w:ascii="ＭＳ 明朝" w:hAnsi="ＭＳ 明朝"/>
                <w:color w:val="auto"/>
              </w:rPr>
              <w:t>トドマツ、アカエゾマツ</w:t>
            </w:r>
          </w:p>
        </w:tc>
        <w:tc>
          <w:tcPr>
            <w:tcW w:w="2299" w:type="dxa"/>
            <w:vAlign w:val="center"/>
          </w:tcPr>
          <w:p>
            <w:pPr>
              <w:pStyle w:val="0"/>
              <w:jc w:val="right"/>
              <w:rPr>
                <w:rFonts w:hint="default" w:ascii="ＭＳ 明朝" w:hAnsi="ＭＳ 明朝"/>
                <w:color w:val="auto"/>
              </w:rPr>
            </w:pPr>
            <w:r>
              <w:rPr>
                <w:rFonts w:hint="eastAsia" w:ascii="ＭＳ 明朝" w:hAnsi="ＭＳ 明朝"/>
                <w:color w:val="auto"/>
              </w:rPr>
              <w:t>～６月１０日</w:t>
            </w:r>
          </w:p>
        </w:tc>
      </w:tr>
      <w:tr>
        <w:trPr>
          <w:trHeight w:val="321" w:hRule="atLeast"/>
        </w:trPr>
        <w:tc>
          <w:tcPr>
            <w:tcW w:w="1302" w:type="dxa"/>
            <w:vMerge w:val="continue"/>
            <w:vAlign w:val="center"/>
          </w:tcPr>
          <w:p>
            <w:pPr>
              <w:pStyle w:val="0"/>
              <w:jc w:val="center"/>
              <w:rPr>
                <w:rFonts w:hint="default" w:ascii="ＭＳ 明朝" w:hAnsi="ＭＳ 明朝"/>
              </w:rPr>
            </w:pPr>
          </w:p>
        </w:tc>
        <w:tc>
          <w:tcPr>
            <w:tcW w:w="3656" w:type="dxa"/>
            <w:vAlign w:val="center"/>
          </w:tcPr>
          <w:p>
            <w:pPr>
              <w:pStyle w:val="0"/>
              <w:rPr>
                <w:rFonts w:hint="default" w:ascii="ＭＳ 明朝" w:hAnsi="ＭＳ 明朝"/>
                <w:color w:val="auto"/>
              </w:rPr>
            </w:pPr>
            <w:r>
              <w:rPr>
                <w:rFonts w:hint="eastAsia" w:ascii="ＭＳ 明朝" w:hAnsi="ＭＳ 明朝"/>
                <w:color w:val="auto"/>
              </w:rPr>
              <w:t>その他</w:t>
            </w:r>
          </w:p>
        </w:tc>
        <w:tc>
          <w:tcPr>
            <w:tcW w:w="2299" w:type="dxa"/>
            <w:vAlign w:val="center"/>
          </w:tcPr>
          <w:p>
            <w:pPr>
              <w:pStyle w:val="0"/>
              <w:jc w:val="right"/>
              <w:rPr>
                <w:rFonts w:hint="default" w:ascii="ＭＳ 明朝" w:hAnsi="ＭＳ 明朝"/>
                <w:color w:val="auto"/>
              </w:rPr>
            </w:pPr>
            <w:r>
              <w:rPr>
                <w:rFonts w:hint="eastAsia" w:ascii="ＭＳ 明朝" w:hAnsi="ＭＳ 明朝"/>
                <w:color w:val="auto"/>
              </w:rPr>
              <w:t>～５月３１日</w:t>
            </w:r>
          </w:p>
        </w:tc>
      </w:tr>
      <w:tr>
        <w:trPr>
          <w:trHeight w:val="414" w:hRule="atLeast"/>
        </w:trPr>
        <w:tc>
          <w:tcPr>
            <w:tcW w:w="1302" w:type="dxa"/>
            <w:vAlign w:val="center"/>
          </w:tcPr>
          <w:p>
            <w:pPr>
              <w:pStyle w:val="0"/>
              <w:jc w:val="center"/>
              <w:rPr>
                <w:rFonts w:hint="default" w:ascii="ＭＳ 明朝" w:hAnsi="ＭＳ 明朝"/>
                <w:color w:val="auto"/>
              </w:rPr>
            </w:pPr>
            <w:r>
              <w:rPr>
                <w:rFonts w:hint="eastAsia" w:ascii="ＭＳ 明朝" w:hAnsi="ＭＳ 明朝"/>
                <w:color w:val="auto"/>
              </w:rPr>
              <w:t>秋植え</w:t>
            </w:r>
          </w:p>
        </w:tc>
        <w:tc>
          <w:tcPr>
            <w:tcW w:w="3656" w:type="dxa"/>
            <w:vAlign w:val="center"/>
          </w:tcPr>
          <w:p>
            <w:pPr>
              <w:pStyle w:val="0"/>
              <w:rPr>
                <w:rFonts w:hint="default" w:ascii="ＭＳ 明朝" w:hAnsi="ＭＳ 明朝"/>
                <w:color w:val="auto"/>
              </w:rPr>
            </w:pPr>
            <w:r>
              <w:rPr>
                <w:rFonts w:hint="eastAsia" w:ascii="ＭＳ 明朝" w:hAnsi="ＭＳ 明朝"/>
                <w:color w:val="auto"/>
              </w:rPr>
              <w:t>全樹種</w:t>
            </w:r>
          </w:p>
        </w:tc>
        <w:tc>
          <w:tcPr>
            <w:tcW w:w="2299" w:type="dxa"/>
            <w:vAlign w:val="center"/>
          </w:tcPr>
          <w:p>
            <w:pPr>
              <w:pStyle w:val="0"/>
              <w:ind w:firstLine="105" w:firstLineChars="50"/>
              <w:rPr>
                <w:rFonts w:hint="default" w:ascii="ＭＳ 明朝" w:hAnsi="ＭＳ 明朝"/>
                <w:color w:val="auto"/>
              </w:rPr>
            </w:pPr>
            <w:r>
              <w:rPr>
                <w:rFonts w:hint="eastAsia" w:ascii="ＭＳ 明朝" w:hAnsi="ＭＳ 明朝"/>
                <w:color w:val="auto"/>
              </w:rPr>
              <w:t>9</w:t>
            </w:r>
            <w:r>
              <w:rPr>
                <w:rFonts w:hint="eastAsia" w:ascii="ＭＳ 明朝" w:hAnsi="ＭＳ 明朝"/>
                <w:color w:val="auto"/>
              </w:rPr>
              <w:t>月中旬～</w:t>
            </w:r>
            <w:r>
              <w:rPr>
                <w:rFonts w:hint="eastAsia" w:ascii="ＭＳ 明朝" w:hAnsi="ＭＳ 明朝"/>
                <w:color w:val="auto"/>
              </w:rPr>
              <w:t>11</w:t>
            </w:r>
            <w:r>
              <w:rPr>
                <w:rFonts w:hint="eastAsia" w:ascii="ＭＳ 明朝" w:hAnsi="ＭＳ 明朝"/>
                <w:color w:val="auto"/>
              </w:rPr>
              <w:t>月上旬</w:t>
            </w:r>
          </w:p>
        </w:tc>
      </w:tr>
    </w:tbl>
    <w:p>
      <w:pPr>
        <w:pStyle w:val="0"/>
        <w:rPr>
          <w:rFonts w:hint="default" w:ascii="ＭＳ 明朝" w:hAnsi="ＭＳ 明朝"/>
          <w:color w:val="auto"/>
        </w:rPr>
      </w:pPr>
    </w:p>
    <w:p>
      <w:pPr>
        <w:pStyle w:val="0"/>
        <w:ind w:left="1260" w:hanging="1260" w:hangingChars="600"/>
        <w:rPr>
          <w:rFonts w:hint="default" w:ascii="ＭＳ 明朝" w:hAnsi="ＭＳ 明朝"/>
          <w:color w:val="auto"/>
        </w:rPr>
      </w:pPr>
      <w:r>
        <w:rPr>
          <w:rFonts w:hint="eastAsia" w:ascii="ＭＳ 明朝" w:hAnsi="ＭＳ 明朝"/>
          <w:color w:val="auto"/>
        </w:rPr>
        <w:t>　　　（オ）　コンテナ苗は、裸苗に比べ植栽が可能となる期間が長いことから、必ずしも第２の１の（２）のアの（エ）の時期によらないものとしますが、自然・立地条件等を十分に考慮し、確実な成林が期待できるよう植え付け時期の配慮に努めることとします。</w:t>
      </w:r>
    </w:p>
    <w:p>
      <w:pPr>
        <w:pStyle w:val="0"/>
        <w:ind w:left="1260" w:leftChars="300" w:hanging="630" w:hangingChars="300"/>
        <w:rPr>
          <w:rFonts w:hint="default" w:ascii="ＭＳ 明朝" w:hAnsi="ＭＳ 明朝"/>
          <w:color w:val="auto"/>
        </w:rPr>
      </w:pPr>
      <w:r>
        <w:rPr>
          <w:rFonts w:hint="eastAsia" w:ascii="ＭＳ 明朝" w:hAnsi="ＭＳ 明朝"/>
          <w:color w:val="auto"/>
        </w:rPr>
        <w:t>（カ）　植栽本数は次の主要樹種の植栽本数を基礎として、既往の植栽本数及び個々の樹種特性を勘案して仕立ての方法別に定めることとし、多様な森林の整備を図る観点から、様々な施業体系や生産目標を想定した植栽本数について検討することとします。</w:t>
      </w:r>
    </w:p>
    <w:p>
      <w:pPr>
        <w:pStyle w:val="0"/>
        <w:ind w:left="1260" w:leftChars="600"/>
        <w:rPr>
          <w:rFonts w:hint="default" w:ascii="ＭＳ 明朝" w:hAnsi="ＭＳ 明朝"/>
          <w:color w:val="auto"/>
        </w:rPr>
      </w:pPr>
      <w:r>
        <w:rPr>
          <w:rFonts w:hint="eastAsia" w:ascii="ＭＳ 明朝" w:hAnsi="ＭＳ 明朝"/>
          <w:color w:val="auto"/>
        </w:rPr>
        <w:t>なお、周囲の人工林の生育状況、気象災害の発生状況等を勘案し、森林の有する多面的機能の高度発揮とともに植栽コストの低減を図る場合には、次表に関わらず本数の低減を積極的に検討することとします。</w:t>
      </w:r>
    </w:p>
    <w:p>
      <w:pPr>
        <w:pStyle w:val="0"/>
        <w:ind w:left="1260" w:leftChars="600" w:firstLine="210" w:firstLineChars="100"/>
        <w:rPr>
          <w:rFonts w:hint="default" w:ascii="ＭＳ 明朝" w:hAnsi="ＭＳ 明朝"/>
          <w:color w:val="auto"/>
        </w:rPr>
      </w:pPr>
      <w:r>
        <w:rPr>
          <w:rFonts w:hint="eastAsia" w:ascii="ＭＳ 明朝" w:hAnsi="ＭＳ 明朝"/>
          <w:color w:val="auto"/>
        </w:rPr>
        <w:t>特に、初期成長が早く、通直性や耐そ性も優れたクリーンラーチ等を植栽する場合は、植栽本数の低減に努めることとします。植栽本数の低減にあたっては、将来の保育コストを抑える観点から、高性能林業機械の導入を見据えた植栽設計を検討することとします。</w:t>
      </w:r>
    </w:p>
    <w:p>
      <w:pPr>
        <w:pStyle w:val="0"/>
        <w:ind w:left="1260" w:leftChars="600" w:firstLine="210" w:firstLineChars="100"/>
        <w:rPr>
          <w:rFonts w:hint="default" w:ascii="ＭＳ 明朝" w:hAnsi="ＭＳ 明朝"/>
          <w:color w:val="auto"/>
        </w:rPr>
      </w:pPr>
      <w:r>
        <w:rPr>
          <w:rFonts w:hint="eastAsia" w:ascii="ＭＳ 明朝" w:hAnsi="ＭＳ 明朝"/>
          <w:color w:val="auto"/>
        </w:rPr>
        <w:t>また、周囲に樹冠が十分発達した母樹があり、天然更新も期待できる林分にあっては、天然更新木の積極的な活用を検討することとします。</w:t>
      </w:r>
    </w:p>
    <w:p>
      <w:pPr>
        <w:pStyle w:val="0"/>
        <w:ind w:left="915" w:firstLine="210" w:firstLineChars="100"/>
        <w:rPr>
          <w:rFonts w:hint="default" w:ascii="ＭＳ 明朝" w:hAnsi="ＭＳ 明朝"/>
          <w:color w:val="auto"/>
        </w:rPr>
      </w:pPr>
    </w:p>
    <w:p>
      <w:pPr>
        <w:pStyle w:val="0"/>
        <w:ind w:firstLine="630" w:firstLineChars="300"/>
        <w:rPr>
          <w:rFonts w:hint="default" w:ascii="ＭＳ 明朝" w:hAnsi="ＭＳ 明朝"/>
          <w:color w:val="auto"/>
        </w:rPr>
      </w:pPr>
      <w:r>
        <w:rPr>
          <w:rFonts w:hint="eastAsia" w:ascii="ＭＳ 明朝" w:hAnsi="ＭＳ 明朝"/>
          <w:color w:val="auto"/>
        </w:rPr>
        <w:t>【植栽本数】</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単位　本／</w:t>
      </w:r>
      <w:r>
        <w:rPr>
          <w:rFonts w:hint="eastAsia" w:ascii="ＭＳ 明朝" w:hAnsi="ＭＳ 明朝"/>
          <w:color w:val="auto"/>
        </w:rPr>
        <w:t>ha</w:t>
      </w:r>
    </w:p>
    <w:tbl>
      <w:tblPr>
        <w:tblStyle w:val="11"/>
        <w:tblW w:w="8744" w:type="dxa"/>
        <w:tblInd w:w="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9"/>
        <w:gridCol w:w="1417"/>
        <w:gridCol w:w="1418"/>
        <w:gridCol w:w="1542"/>
        <w:gridCol w:w="1404"/>
        <w:gridCol w:w="1404"/>
      </w:tblGrid>
      <w:tr>
        <w:trPr>
          <w:trHeight w:val="313" w:hRule="atLeast"/>
        </w:trPr>
        <w:tc>
          <w:tcPr>
            <w:tcW w:w="1559" w:type="dxa"/>
            <w:vMerge w:val="restart"/>
            <w:vAlign w:val="center"/>
          </w:tcPr>
          <w:p>
            <w:pPr>
              <w:pStyle w:val="0"/>
              <w:jc w:val="center"/>
              <w:rPr>
                <w:rFonts w:hint="default" w:ascii="ＭＳ 明朝" w:hAnsi="ＭＳ 明朝"/>
                <w:color w:val="auto"/>
              </w:rPr>
            </w:pPr>
            <w:r>
              <w:rPr>
                <w:rFonts w:hint="eastAsia" w:ascii="ＭＳ 明朝" w:hAnsi="ＭＳ 明朝"/>
                <w:color w:val="auto"/>
              </w:rPr>
              <w:t>区　分</w:t>
            </w:r>
          </w:p>
        </w:tc>
        <w:tc>
          <w:tcPr>
            <w:tcW w:w="7185" w:type="dxa"/>
            <w:gridSpan w:val="5"/>
            <w:vAlign w:val="top"/>
          </w:tcPr>
          <w:p>
            <w:pPr>
              <w:pStyle w:val="0"/>
              <w:jc w:val="center"/>
              <w:rPr>
                <w:rFonts w:hint="default" w:ascii="ＭＳ 明朝" w:hAnsi="ＭＳ 明朝"/>
                <w:color w:val="auto"/>
              </w:rPr>
            </w:pPr>
            <w:r>
              <w:rPr>
                <w:rFonts w:hint="eastAsia" w:ascii="ＭＳ 明朝" w:hAnsi="ＭＳ 明朝"/>
                <w:color w:val="auto"/>
              </w:rPr>
              <w:t>樹種</w:t>
            </w:r>
          </w:p>
        </w:tc>
      </w:tr>
      <w:tr>
        <w:trPr>
          <w:trHeight w:val="293" w:hRule="atLeast"/>
        </w:trPr>
        <w:tc>
          <w:tcPr>
            <w:tcW w:w="1559" w:type="dxa"/>
            <w:vMerge w:val="continue"/>
            <w:vAlign w:val="top"/>
          </w:tcPr>
          <w:p>
            <w:pPr>
              <w:pStyle w:val="0"/>
              <w:rPr>
                <w:rFonts w:hint="default"/>
              </w:rPr>
            </w:pPr>
          </w:p>
        </w:tc>
        <w:tc>
          <w:tcPr>
            <w:tcW w:w="1417" w:type="dxa"/>
            <w:vAlign w:val="center"/>
          </w:tcPr>
          <w:p>
            <w:pPr>
              <w:pStyle w:val="0"/>
              <w:jc w:val="center"/>
              <w:rPr>
                <w:rFonts w:hint="default" w:ascii="ＭＳ 明朝" w:hAnsi="ＭＳ 明朝"/>
                <w:color w:val="auto"/>
              </w:rPr>
            </w:pPr>
            <w:r>
              <w:rPr>
                <w:rFonts w:hint="eastAsia" w:ascii="ＭＳ 明朝" w:hAnsi="ＭＳ 明朝"/>
                <w:color w:val="auto"/>
              </w:rPr>
              <w:t>カラマツ</w:t>
            </w:r>
          </w:p>
        </w:tc>
        <w:tc>
          <w:tcPr>
            <w:tcW w:w="1418" w:type="dxa"/>
            <w:vAlign w:val="center"/>
          </w:tcPr>
          <w:p>
            <w:pPr>
              <w:pStyle w:val="0"/>
              <w:jc w:val="center"/>
              <w:rPr>
                <w:rFonts w:hint="default" w:ascii="ＭＳ 明朝" w:hAnsi="ＭＳ 明朝"/>
                <w:color w:val="auto"/>
              </w:rPr>
            </w:pPr>
            <w:r>
              <w:rPr>
                <w:rFonts w:hint="eastAsia" w:ascii="ＭＳ 明朝" w:hAnsi="ＭＳ 明朝"/>
                <w:color w:val="auto"/>
              </w:rPr>
              <w:t>トドマツ</w:t>
            </w:r>
          </w:p>
        </w:tc>
        <w:tc>
          <w:tcPr>
            <w:tcW w:w="1542" w:type="dxa"/>
            <w:vAlign w:val="top"/>
          </w:tcPr>
          <w:p>
            <w:pPr>
              <w:pStyle w:val="0"/>
              <w:jc w:val="center"/>
              <w:rPr>
                <w:rFonts w:hint="default" w:ascii="ＭＳ 明朝" w:hAnsi="ＭＳ 明朝"/>
                <w:color w:val="auto"/>
              </w:rPr>
            </w:pPr>
            <w:r>
              <w:rPr>
                <w:rFonts w:hint="eastAsia" w:ascii="ＭＳ 明朝" w:hAnsi="ＭＳ 明朝"/>
                <w:color w:val="auto"/>
              </w:rPr>
              <w:t>アカエゾマツ</w:t>
            </w:r>
          </w:p>
        </w:tc>
        <w:tc>
          <w:tcPr>
            <w:tcW w:w="1404" w:type="dxa"/>
            <w:vAlign w:val="center"/>
          </w:tcPr>
          <w:p>
            <w:pPr>
              <w:pStyle w:val="0"/>
              <w:jc w:val="center"/>
              <w:rPr>
                <w:rFonts w:hint="default" w:ascii="ＭＳ 明朝" w:hAnsi="ＭＳ 明朝"/>
                <w:color w:val="auto"/>
              </w:rPr>
            </w:pPr>
            <w:r>
              <w:rPr>
                <w:rFonts w:hint="eastAsia" w:ascii="ＭＳ 明朝" w:hAnsi="ＭＳ 明朝"/>
                <w:color w:val="auto"/>
              </w:rPr>
              <w:t>その他針</w:t>
            </w:r>
          </w:p>
        </w:tc>
        <w:tc>
          <w:tcPr>
            <w:tcW w:w="1404" w:type="dxa"/>
            <w:vAlign w:val="center"/>
          </w:tcPr>
          <w:p>
            <w:pPr>
              <w:pStyle w:val="0"/>
              <w:jc w:val="center"/>
              <w:rPr>
                <w:rFonts w:hint="default" w:ascii="ＭＳ 明朝" w:hAnsi="ＭＳ 明朝"/>
                <w:color w:val="auto"/>
              </w:rPr>
            </w:pPr>
            <w:r>
              <w:rPr>
                <w:rFonts w:hint="eastAsia" w:ascii="ＭＳ 明朝" w:hAnsi="ＭＳ 明朝"/>
                <w:color w:val="auto"/>
              </w:rPr>
              <w:t>広葉樹</w:t>
            </w:r>
          </w:p>
        </w:tc>
      </w:tr>
      <w:tr>
        <w:trPr>
          <w:trHeight w:val="362" w:hRule="atLeast"/>
        </w:trPr>
        <w:tc>
          <w:tcPr>
            <w:tcW w:w="1559" w:type="dxa"/>
            <w:vAlign w:val="center"/>
          </w:tcPr>
          <w:p>
            <w:pPr>
              <w:pStyle w:val="0"/>
              <w:jc w:val="center"/>
              <w:rPr>
                <w:rFonts w:hint="default" w:ascii="ＭＳ 明朝" w:hAnsi="ＭＳ 明朝"/>
                <w:color w:val="auto"/>
              </w:rPr>
            </w:pPr>
            <w:r>
              <w:rPr>
                <w:rFonts w:hint="eastAsia" w:ascii="ＭＳ 明朝" w:hAnsi="ＭＳ 明朝"/>
                <w:color w:val="auto"/>
              </w:rPr>
              <w:t>密仕立て</w:t>
            </w:r>
          </w:p>
        </w:tc>
        <w:tc>
          <w:tcPr>
            <w:tcW w:w="1417" w:type="dxa"/>
            <w:vAlign w:val="center"/>
          </w:tcPr>
          <w:p>
            <w:pPr>
              <w:pStyle w:val="0"/>
              <w:jc w:val="center"/>
              <w:rPr>
                <w:rFonts w:hint="default" w:ascii="ＭＳ 明朝" w:hAnsi="ＭＳ 明朝"/>
                <w:color w:val="auto"/>
              </w:rPr>
            </w:pPr>
            <w:r>
              <w:rPr>
                <w:rFonts w:hint="eastAsia" w:ascii="ＭＳ 明朝" w:hAnsi="ＭＳ 明朝"/>
                <w:color w:val="auto"/>
              </w:rPr>
              <w:t>2,500</w:t>
            </w:r>
          </w:p>
        </w:tc>
        <w:tc>
          <w:tcPr>
            <w:tcW w:w="1418" w:type="dxa"/>
            <w:vAlign w:val="center"/>
          </w:tcPr>
          <w:p>
            <w:pPr>
              <w:pStyle w:val="0"/>
              <w:jc w:val="center"/>
              <w:rPr>
                <w:rFonts w:hint="default" w:ascii="ＭＳ 明朝" w:hAnsi="ＭＳ 明朝"/>
                <w:color w:val="auto"/>
              </w:rPr>
            </w:pPr>
            <w:r>
              <w:rPr>
                <w:rFonts w:hint="eastAsia" w:ascii="ＭＳ 明朝" w:hAnsi="ＭＳ 明朝"/>
                <w:color w:val="auto"/>
              </w:rPr>
              <w:t>2,500</w:t>
            </w:r>
          </w:p>
        </w:tc>
        <w:tc>
          <w:tcPr>
            <w:tcW w:w="1542" w:type="dxa"/>
            <w:vAlign w:val="top"/>
          </w:tcPr>
          <w:p>
            <w:pPr>
              <w:pStyle w:val="0"/>
              <w:jc w:val="center"/>
              <w:rPr>
                <w:rFonts w:hint="default" w:ascii="ＭＳ 明朝" w:hAnsi="ＭＳ 明朝"/>
                <w:color w:val="auto"/>
              </w:rPr>
            </w:pPr>
            <w:r>
              <w:rPr>
                <w:rFonts w:hint="eastAsia" w:ascii="ＭＳ 明朝" w:hAnsi="ＭＳ 明朝"/>
                <w:color w:val="auto"/>
              </w:rPr>
              <w:t>2,500</w:t>
            </w:r>
          </w:p>
        </w:tc>
        <w:tc>
          <w:tcPr>
            <w:tcW w:w="1404" w:type="dxa"/>
            <w:vAlign w:val="center"/>
          </w:tcPr>
          <w:p>
            <w:pPr>
              <w:pStyle w:val="0"/>
              <w:jc w:val="center"/>
              <w:rPr>
                <w:rFonts w:hint="default" w:ascii="ＭＳ 明朝" w:hAnsi="ＭＳ 明朝"/>
                <w:color w:val="auto"/>
              </w:rPr>
            </w:pPr>
            <w:r>
              <w:rPr>
                <w:rFonts w:hint="eastAsia" w:ascii="ＭＳ 明朝" w:hAnsi="ＭＳ 明朝"/>
                <w:color w:val="auto"/>
              </w:rPr>
              <w:t>2,500</w:t>
            </w:r>
          </w:p>
        </w:tc>
        <w:tc>
          <w:tcPr>
            <w:tcW w:w="1404" w:type="dxa"/>
            <w:vAlign w:val="center"/>
          </w:tcPr>
          <w:p>
            <w:pPr>
              <w:pStyle w:val="0"/>
              <w:jc w:val="center"/>
              <w:rPr>
                <w:rFonts w:hint="default" w:ascii="ＭＳ 明朝" w:hAnsi="ＭＳ 明朝"/>
                <w:color w:val="auto"/>
              </w:rPr>
            </w:pPr>
            <w:r>
              <w:rPr>
                <w:rFonts w:hint="eastAsia" w:ascii="ＭＳ 明朝" w:hAnsi="ＭＳ 明朝"/>
                <w:color w:val="auto"/>
              </w:rPr>
              <w:t>3,000</w:t>
            </w:r>
          </w:p>
        </w:tc>
      </w:tr>
      <w:tr>
        <w:trPr>
          <w:trHeight w:val="362" w:hRule="atLeast"/>
        </w:trPr>
        <w:tc>
          <w:tcPr>
            <w:tcW w:w="1559" w:type="dxa"/>
            <w:vAlign w:val="center"/>
          </w:tcPr>
          <w:p>
            <w:pPr>
              <w:pStyle w:val="0"/>
              <w:jc w:val="center"/>
              <w:rPr>
                <w:rFonts w:hint="default" w:ascii="ＭＳ 明朝" w:hAnsi="ＭＳ 明朝"/>
                <w:color w:val="auto"/>
              </w:rPr>
            </w:pPr>
            <w:r>
              <w:rPr>
                <w:rFonts w:hint="eastAsia" w:ascii="ＭＳ 明朝" w:hAnsi="ＭＳ 明朝"/>
                <w:color w:val="auto"/>
              </w:rPr>
              <w:t>中庸仕立て</w:t>
            </w:r>
          </w:p>
        </w:tc>
        <w:tc>
          <w:tcPr>
            <w:tcW w:w="1417" w:type="dxa"/>
            <w:vAlign w:val="center"/>
          </w:tcPr>
          <w:p>
            <w:pPr>
              <w:pStyle w:val="0"/>
              <w:jc w:val="center"/>
              <w:rPr>
                <w:rFonts w:hint="default" w:ascii="ＭＳ 明朝" w:hAnsi="ＭＳ 明朝"/>
                <w:color w:val="auto"/>
              </w:rPr>
            </w:pPr>
            <w:r>
              <w:rPr>
                <w:rFonts w:hint="eastAsia" w:ascii="ＭＳ 明朝" w:hAnsi="ＭＳ 明朝"/>
                <w:color w:val="auto"/>
              </w:rPr>
              <w:t>2,000</w:t>
            </w:r>
          </w:p>
        </w:tc>
        <w:tc>
          <w:tcPr>
            <w:tcW w:w="1418" w:type="dxa"/>
            <w:vAlign w:val="center"/>
          </w:tcPr>
          <w:p>
            <w:pPr>
              <w:pStyle w:val="0"/>
              <w:jc w:val="center"/>
              <w:rPr>
                <w:rFonts w:hint="default" w:ascii="ＭＳ 明朝" w:hAnsi="ＭＳ 明朝"/>
                <w:color w:val="auto"/>
              </w:rPr>
            </w:pPr>
            <w:r>
              <w:rPr>
                <w:rFonts w:hint="eastAsia" w:ascii="ＭＳ 明朝" w:hAnsi="ＭＳ 明朝"/>
                <w:color w:val="auto"/>
              </w:rPr>
              <w:t>2,000</w:t>
            </w:r>
          </w:p>
        </w:tc>
        <w:tc>
          <w:tcPr>
            <w:tcW w:w="1542" w:type="dxa"/>
            <w:vAlign w:val="top"/>
          </w:tcPr>
          <w:p>
            <w:pPr>
              <w:pStyle w:val="0"/>
              <w:jc w:val="center"/>
              <w:rPr>
                <w:rFonts w:hint="default" w:ascii="ＭＳ 明朝" w:hAnsi="ＭＳ 明朝"/>
                <w:color w:val="auto"/>
              </w:rPr>
            </w:pPr>
            <w:r>
              <w:rPr>
                <w:rFonts w:hint="eastAsia" w:ascii="ＭＳ 明朝" w:hAnsi="ＭＳ 明朝"/>
                <w:color w:val="auto"/>
              </w:rPr>
              <w:t>2,000</w:t>
            </w:r>
          </w:p>
        </w:tc>
        <w:tc>
          <w:tcPr>
            <w:tcW w:w="1404" w:type="dxa"/>
            <w:vAlign w:val="center"/>
          </w:tcPr>
          <w:p>
            <w:pPr>
              <w:pStyle w:val="0"/>
              <w:jc w:val="center"/>
              <w:rPr>
                <w:rFonts w:hint="default" w:ascii="ＭＳ 明朝" w:hAnsi="ＭＳ 明朝"/>
                <w:color w:val="auto"/>
              </w:rPr>
            </w:pPr>
            <w:r>
              <w:rPr>
                <w:rFonts w:hint="eastAsia" w:ascii="ＭＳ 明朝" w:hAnsi="ＭＳ 明朝"/>
                <w:color w:val="auto"/>
              </w:rPr>
              <w:t>2,000</w:t>
            </w:r>
          </w:p>
        </w:tc>
        <w:tc>
          <w:tcPr>
            <w:tcW w:w="1404" w:type="dxa"/>
            <w:vAlign w:val="center"/>
          </w:tcPr>
          <w:p>
            <w:pPr>
              <w:pStyle w:val="0"/>
              <w:jc w:val="center"/>
              <w:rPr>
                <w:rFonts w:hint="default" w:ascii="ＭＳ 明朝" w:hAnsi="ＭＳ 明朝"/>
                <w:color w:val="auto"/>
              </w:rPr>
            </w:pPr>
            <w:r>
              <w:rPr>
                <w:rFonts w:hint="eastAsia" w:ascii="ＭＳ 明朝" w:hAnsi="ＭＳ 明朝"/>
                <w:color w:val="auto"/>
              </w:rPr>
              <w:t>2,500</w:t>
            </w:r>
          </w:p>
        </w:tc>
      </w:tr>
      <w:tr>
        <w:trPr>
          <w:trHeight w:val="362" w:hRule="atLeast"/>
        </w:trPr>
        <w:tc>
          <w:tcPr>
            <w:tcW w:w="1559" w:type="dxa"/>
            <w:vAlign w:val="center"/>
          </w:tcPr>
          <w:p>
            <w:pPr>
              <w:pStyle w:val="0"/>
              <w:jc w:val="center"/>
              <w:rPr>
                <w:rFonts w:hint="default" w:ascii="ＭＳ 明朝" w:hAnsi="ＭＳ 明朝"/>
                <w:color w:val="auto"/>
              </w:rPr>
            </w:pPr>
            <w:r>
              <w:rPr>
                <w:rFonts w:hint="eastAsia" w:ascii="ＭＳ 明朝" w:hAnsi="ＭＳ 明朝"/>
                <w:color w:val="auto"/>
              </w:rPr>
              <w:t>疎仕立て</w:t>
            </w:r>
          </w:p>
        </w:tc>
        <w:tc>
          <w:tcPr>
            <w:tcW w:w="1417" w:type="dxa"/>
            <w:vAlign w:val="center"/>
          </w:tcPr>
          <w:p>
            <w:pPr>
              <w:pStyle w:val="0"/>
              <w:jc w:val="center"/>
              <w:rPr>
                <w:rFonts w:hint="default" w:ascii="ＭＳ 明朝" w:hAnsi="ＭＳ 明朝"/>
                <w:color w:val="auto"/>
              </w:rPr>
            </w:pPr>
            <w:r>
              <w:rPr>
                <w:rFonts w:hint="eastAsia" w:ascii="ＭＳ 明朝" w:hAnsi="ＭＳ 明朝"/>
                <w:color w:val="auto"/>
              </w:rPr>
              <w:t>1,500</w:t>
            </w:r>
          </w:p>
        </w:tc>
        <w:tc>
          <w:tcPr>
            <w:tcW w:w="1418" w:type="dxa"/>
            <w:vAlign w:val="center"/>
          </w:tcPr>
          <w:p>
            <w:pPr>
              <w:pStyle w:val="0"/>
              <w:jc w:val="center"/>
              <w:rPr>
                <w:rFonts w:hint="default" w:ascii="ＭＳ 明朝" w:hAnsi="ＭＳ 明朝"/>
                <w:color w:val="auto"/>
              </w:rPr>
            </w:pPr>
            <w:r>
              <w:rPr>
                <w:rFonts w:hint="eastAsia" w:ascii="ＭＳ 明朝" w:hAnsi="ＭＳ 明朝"/>
                <w:color w:val="auto"/>
              </w:rPr>
              <w:t>1,500</w:t>
            </w:r>
          </w:p>
        </w:tc>
        <w:tc>
          <w:tcPr>
            <w:tcW w:w="1542" w:type="dxa"/>
            <w:vAlign w:val="top"/>
          </w:tcPr>
          <w:p>
            <w:pPr>
              <w:pStyle w:val="0"/>
              <w:jc w:val="center"/>
              <w:rPr>
                <w:rFonts w:hint="default" w:ascii="ＭＳ 明朝" w:hAnsi="ＭＳ 明朝"/>
                <w:color w:val="auto"/>
              </w:rPr>
            </w:pPr>
            <w:r>
              <w:rPr>
                <w:rFonts w:hint="eastAsia" w:ascii="ＭＳ 明朝" w:hAnsi="ＭＳ 明朝"/>
                <w:color w:val="auto"/>
              </w:rPr>
              <w:t>1,500</w:t>
            </w:r>
          </w:p>
        </w:tc>
        <w:tc>
          <w:tcPr>
            <w:tcW w:w="1404" w:type="dxa"/>
            <w:vAlign w:val="center"/>
          </w:tcPr>
          <w:p>
            <w:pPr>
              <w:pStyle w:val="0"/>
              <w:jc w:val="center"/>
              <w:rPr>
                <w:rFonts w:hint="default" w:ascii="ＭＳ 明朝" w:hAnsi="ＭＳ 明朝"/>
                <w:color w:val="auto"/>
              </w:rPr>
            </w:pPr>
            <w:r>
              <w:rPr>
                <w:rFonts w:hint="eastAsia" w:ascii="ＭＳ 明朝" w:hAnsi="ＭＳ 明朝"/>
                <w:color w:val="auto"/>
              </w:rPr>
              <w:t>1,500</w:t>
            </w:r>
          </w:p>
        </w:tc>
        <w:tc>
          <w:tcPr>
            <w:tcW w:w="1404" w:type="dxa"/>
            <w:vAlign w:val="center"/>
          </w:tcPr>
          <w:p>
            <w:pPr>
              <w:pStyle w:val="0"/>
              <w:jc w:val="center"/>
              <w:rPr>
                <w:rFonts w:hint="default" w:ascii="ＭＳ 明朝" w:hAnsi="ＭＳ 明朝"/>
                <w:color w:val="auto"/>
              </w:rPr>
            </w:pPr>
            <w:r>
              <w:rPr>
                <w:rFonts w:hint="eastAsia" w:ascii="ＭＳ 明朝" w:hAnsi="ＭＳ 明朝"/>
                <w:color w:val="auto"/>
              </w:rPr>
              <w:t>1,500</w:t>
            </w:r>
          </w:p>
        </w:tc>
      </w:tr>
    </w:tbl>
    <w:p>
      <w:pPr>
        <w:pStyle w:val="0"/>
        <w:ind w:left="840" w:leftChars="300" w:hanging="210" w:hangingChars="100"/>
        <w:rPr>
          <w:rFonts w:hint="default" w:ascii="ＭＳ 明朝" w:hAnsi="ＭＳ 明朝"/>
          <w:color w:val="auto"/>
        </w:rPr>
      </w:pPr>
    </w:p>
    <w:p>
      <w:pPr>
        <w:pStyle w:val="0"/>
        <w:ind w:left="1260" w:leftChars="300" w:hanging="630" w:hangingChars="300"/>
        <w:rPr>
          <w:rFonts w:hint="default" w:ascii="ＭＳ 明朝" w:hAnsi="ＭＳ 明朝"/>
          <w:color w:val="auto"/>
        </w:rPr>
      </w:pPr>
      <w:r>
        <w:rPr>
          <w:rFonts w:hint="eastAsia" w:ascii="ＭＳ 明朝" w:hAnsi="ＭＳ 明朝"/>
          <w:color w:val="auto"/>
        </w:rPr>
        <w:t>（キ）　効率的な施業実施の観点から、技術的合理性に基づき、コンテナ苗の活用についても努めることとします。</w:t>
      </w:r>
    </w:p>
    <w:p>
      <w:pPr>
        <w:pStyle w:val="0"/>
        <w:ind w:left="1260" w:leftChars="600" w:firstLine="210" w:firstLineChars="100"/>
        <w:rPr>
          <w:rFonts w:hint="default" w:ascii="ＭＳ 明朝" w:hAnsi="ＭＳ 明朝"/>
          <w:color w:val="auto"/>
        </w:rPr>
      </w:pPr>
      <w:r>
        <w:rPr>
          <w:rFonts w:hint="eastAsia" w:ascii="ＭＳ 明朝" w:hAnsi="ＭＳ 明朝"/>
          <w:color w:val="auto"/>
        </w:rPr>
        <w:t>なお、コンテナ苗の植栽時期については、第２の１（２）ア（エ）の時期によらないものとしますが、自然・立地条件等を十分に考慮し、適期での植え付けとなるように努めることとします。</w:t>
      </w:r>
    </w:p>
    <w:p>
      <w:pPr>
        <w:pStyle w:val="0"/>
        <w:ind w:firstLine="420" w:firstLineChars="200"/>
        <w:rPr>
          <w:rFonts w:hint="default" w:ascii="ＭＳ 明朝" w:hAnsi="ＭＳ 明朝"/>
          <w:color w:val="auto"/>
        </w:rPr>
      </w:pPr>
      <w:r>
        <w:rPr>
          <w:rFonts w:hint="eastAsia" w:ascii="ＭＳ 明朝" w:hAnsi="ＭＳ 明朝"/>
          <w:color w:val="auto"/>
        </w:rPr>
        <w:t>イ　育成複層林を導入または維持する森林</w:t>
      </w:r>
    </w:p>
    <w:p>
      <w:pPr>
        <w:pStyle w:val="0"/>
        <w:ind w:left="630" w:leftChars="300" w:firstLine="210" w:firstLineChars="100"/>
        <w:rPr>
          <w:rFonts w:hint="default" w:ascii="ＭＳ 明朝" w:hAnsi="ＭＳ 明朝"/>
          <w:color w:val="auto"/>
        </w:rPr>
      </w:pPr>
      <w:r>
        <w:rPr>
          <w:rFonts w:hint="eastAsia" w:ascii="ＭＳ 明朝" w:hAnsi="ＭＳ 明朝"/>
          <w:color w:val="auto"/>
        </w:rPr>
        <w:t>下層木の成長に必要な照度を常に確保することとします。植栽により更新を確保する場合には、上層木の枝下部への植栽を避けることとし、植栽本数については、標準的な植栽本数に上層木の材積伐採率を乗じた本数以上を基本とします。</w:t>
      </w:r>
    </w:p>
    <w:p>
      <w:pPr>
        <w:pStyle w:val="0"/>
        <w:ind w:left="555" w:firstLine="210" w:firstLineChars="100"/>
        <w:rPr>
          <w:rFonts w:hint="default" w:ascii="ＭＳ 明朝" w:hAnsi="ＭＳ 明朝"/>
          <w:color w:val="auto"/>
        </w:rPr>
      </w:pPr>
    </w:p>
    <w:p>
      <w:pPr>
        <w:pStyle w:val="0"/>
        <w:ind w:firstLine="1050" w:firstLineChars="500"/>
        <w:rPr>
          <w:rFonts w:hint="default" w:ascii="ＭＳ 明朝" w:hAnsi="ＭＳ 明朝"/>
          <w:color w:val="auto"/>
        </w:rPr>
      </w:pPr>
      <w:r>
        <w:rPr>
          <w:rFonts w:hint="eastAsia" w:ascii="ＭＳ 明朝" w:hAnsi="ＭＳ 明朝"/>
          <w:color w:val="auto"/>
        </w:rPr>
        <w:t>【複層林の導入に伴う植栽本数の例】</w:t>
      </w:r>
    </w:p>
    <w:tbl>
      <w:tblPr>
        <w:tblStyle w:val="11"/>
        <w:tblW w:w="7462" w:type="dxa"/>
        <w:tblInd w:w="1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62"/>
      </w:tblGrid>
      <w:tr>
        <w:trPr>
          <w:trHeight w:val="1710" w:hRule="atLeast"/>
        </w:trPr>
        <w:tc>
          <w:tcPr>
            <w:tcW w:w="7462" w:type="dxa"/>
            <w:vAlign w:val="top"/>
          </w:tcPr>
          <w:p>
            <w:pPr>
              <w:pStyle w:val="0"/>
              <w:rPr>
                <w:rFonts w:hint="default" w:ascii="ＭＳ 明朝" w:hAnsi="ＭＳ 明朝"/>
                <w:color w:val="auto"/>
              </w:rPr>
            </w:pPr>
            <w:r>
              <w:rPr>
                <w:rFonts w:hint="eastAsia" w:ascii="ＭＳ 明朝" w:hAnsi="ＭＳ 明朝"/>
                <w:color w:val="auto"/>
              </w:rPr>
              <w:t>カラマツ林で材積率３０％の択伐を行い、カラマツを植栽して複層林とする。</w:t>
            </w:r>
          </w:p>
          <w:p>
            <w:pPr>
              <w:pStyle w:val="0"/>
              <w:jc w:val="center"/>
              <w:rPr>
                <w:rFonts w:hint="default" w:ascii="ＭＳ 明朝" w:hAnsi="ＭＳ 明朝"/>
                <w:color w:val="auto"/>
              </w:rPr>
            </w:pPr>
            <w:r>
              <w:rPr>
                <w:rFonts w:hint="eastAsia" w:ascii="ＭＳ 明朝" w:hAnsi="ＭＳ 明朝"/>
                <w:color w:val="auto"/>
              </w:rPr>
              <w:t>↓</w:t>
            </w:r>
          </w:p>
          <w:p>
            <w:pPr>
              <w:pStyle w:val="0"/>
              <w:rPr>
                <w:rFonts w:hint="default" w:ascii="ＭＳ 明朝" w:hAnsi="ＭＳ 明朝"/>
                <w:color w:val="auto"/>
              </w:rPr>
            </w:pPr>
            <w:r>
              <w:rPr>
                <w:rFonts w:hint="eastAsia" w:ascii="ＭＳ 明朝" w:hAnsi="ＭＳ 明朝"/>
                <w:color w:val="auto"/>
              </w:rPr>
              <w:t>カラマツの標準的な植栽本数が</w:t>
            </w:r>
            <w:r>
              <w:rPr>
                <w:rFonts w:hint="eastAsia" w:ascii="ＭＳ 明朝" w:hAnsi="ＭＳ 明朝"/>
                <w:color w:val="auto"/>
              </w:rPr>
              <w:t>ha</w:t>
            </w:r>
            <w:r>
              <w:rPr>
                <w:rFonts w:hint="eastAsia" w:ascii="ＭＳ 明朝" w:hAnsi="ＭＳ 明朝"/>
                <w:color w:val="auto"/>
              </w:rPr>
              <w:t>あたり２，０００本とすると、</w:t>
            </w:r>
          </w:p>
          <w:p>
            <w:pPr>
              <w:pStyle w:val="0"/>
              <w:rPr>
                <w:rFonts w:hint="default" w:ascii="ＭＳ 明朝" w:hAnsi="ＭＳ 明朝"/>
                <w:color w:val="auto"/>
              </w:rPr>
            </w:pPr>
            <w:r>
              <w:rPr>
                <w:rFonts w:hint="eastAsia" w:ascii="ＭＳ 明朝" w:hAnsi="ＭＳ 明朝"/>
                <w:color w:val="auto"/>
              </w:rPr>
              <w:t>　　　２，０００×０．３＝６００</w:t>
            </w:r>
          </w:p>
          <w:p>
            <w:pPr>
              <w:pStyle w:val="0"/>
              <w:rPr>
                <w:rFonts w:hint="default" w:ascii="ＭＳ 明朝" w:hAnsi="ＭＳ 明朝"/>
                <w:color w:val="auto"/>
              </w:rPr>
            </w:pPr>
            <w:r>
              <w:rPr>
                <w:rFonts w:hint="eastAsia" w:ascii="ＭＳ 明朝" w:hAnsi="ＭＳ 明朝"/>
                <w:color w:val="auto"/>
              </w:rPr>
              <w:t>となり、カラマツを</w:t>
            </w:r>
            <w:r>
              <w:rPr>
                <w:rFonts w:hint="eastAsia" w:ascii="ＭＳ 明朝" w:hAnsi="ＭＳ 明朝"/>
                <w:color w:val="auto"/>
              </w:rPr>
              <w:t>ha</w:t>
            </w:r>
            <w:r>
              <w:rPr>
                <w:rFonts w:hint="eastAsia" w:ascii="ＭＳ 明朝" w:hAnsi="ＭＳ 明朝"/>
                <w:color w:val="auto"/>
              </w:rPr>
              <w:t>あたりおおむね６００本以上植栽することとなります。</w:t>
            </w:r>
          </w:p>
          <w:p>
            <w:pPr>
              <w:pStyle w:val="0"/>
              <w:rPr>
                <w:rFonts w:hint="default" w:ascii="ＭＳ 明朝" w:hAnsi="ＭＳ 明朝"/>
                <w:strike w:val="1"/>
                <w:color w:val="auto"/>
              </w:rPr>
            </w:pPr>
          </w:p>
        </w:tc>
      </w:tr>
    </w:tbl>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（３）　伐採跡地の人工造林をすべき期間</w:t>
      </w:r>
    </w:p>
    <w:p>
      <w:pPr>
        <w:pStyle w:val="0"/>
        <w:ind w:left="840" w:leftChars="400" w:firstLine="210" w:firstLineChars="100"/>
        <w:rPr>
          <w:rFonts w:hint="default" w:ascii="ＭＳ 明朝" w:hAnsi="ＭＳ 明朝"/>
          <w:color w:val="auto"/>
        </w:rPr>
      </w:pPr>
      <w:r>
        <w:rPr>
          <w:rFonts w:hint="eastAsia" w:ascii="ＭＳ 明朝" w:hAnsi="ＭＳ 明朝"/>
          <w:color w:val="auto"/>
        </w:rPr>
        <w:t>皆伐による伐採跡地については、林地の荒廃を防止し、裸地状態を早急に解消するため、伐採が終了した日を含む年度の翌年度の初日から起算して２年以内に人工造林を実施し、更新を図ることとします。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択伐による部分的な伐採跡地については、伐採が終了した日を含む年度の翌年度の初日から起算して５年以内に人工造林を実施し、更新を図ることとします。</w:t>
      </w:r>
    </w:p>
    <w:p>
      <w:pPr>
        <w:pStyle w:val="0"/>
        <w:ind w:left="554" w:leftChars="264" w:firstLine="420" w:firstLineChars="200"/>
        <w:rPr>
          <w:rFonts w:hint="default" w:ascii="ＭＳ 明朝" w:hAnsi="ＭＳ 明朝"/>
          <w:color w:val="auto"/>
        </w:rPr>
      </w:pPr>
      <w:r>
        <w:rPr>
          <w:rFonts w:hint="eastAsia" w:ascii="ＭＳ 明朝" w:hAnsi="ＭＳ 明朝"/>
          <w:color w:val="auto"/>
        </w:rPr>
        <w:t>なお、天然更新による場合は第２の２（３）で定めます。</w:t>
      </w:r>
    </w:p>
    <w:p>
      <w:pPr>
        <w:pStyle w:val="0"/>
        <w:ind w:left="554" w:leftChars="264" w:firstLine="420" w:firstLineChars="2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天然更新に関する事項</w:t>
      </w:r>
    </w:p>
    <w:p>
      <w:pPr>
        <w:pStyle w:val="0"/>
        <w:ind w:firstLine="210" w:firstLineChars="100"/>
        <w:rPr>
          <w:rFonts w:hint="default" w:ascii="ＭＳ 明朝" w:hAnsi="ＭＳ 明朝"/>
          <w:color w:val="auto"/>
        </w:rPr>
      </w:pPr>
      <w:r>
        <w:rPr>
          <w:rFonts w:hint="eastAsia" w:ascii="ＭＳ 明朝" w:hAnsi="ＭＳ 明朝"/>
          <w:color w:val="auto"/>
        </w:rPr>
        <w:t>（１）　天然更新の対象樹種</w:t>
      </w:r>
    </w:p>
    <w:p>
      <w:pPr>
        <w:pStyle w:val="0"/>
        <w:ind w:left="840" w:leftChars="400" w:firstLine="210" w:firstLineChars="100"/>
        <w:rPr>
          <w:rFonts w:hint="default" w:ascii="ＭＳ 明朝" w:hAnsi="ＭＳ 明朝"/>
          <w:color w:val="auto"/>
        </w:rPr>
      </w:pPr>
      <w:r>
        <w:rPr>
          <w:rFonts w:hint="eastAsia" w:ascii="ＭＳ 明朝" w:hAnsi="ＭＳ 明朝"/>
          <w:color w:val="auto"/>
        </w:rPr>
        <w:t>天然更新は、気候、地形、地質、土壌等の自然的条件、林業技術体系等からみて、主として天然力を活用することにより適確な更新が見込まれる森林において行うこととし、対象樹種を次のとおり定めます。</w:t>
      </w:r>
    </w:p>
    <w:p>
      <w:pPr>
        <w:pStyle w:val="0"/>
        <w:ind w:left="840" w:leftChars="400" w:firstLine="210" w:firstLineChars="100"/>
        <w:rPr>
          <w:rFonts w:hint="default" w:ascii="ＭＳ 明朝" w:hAnsi="ＭＳ 明朝"/>
          <w:color w:val="auto"/>
        </w:rPr>
      </w:pPr>
    </w:p>
    <w:tbl>
      <w:tblPr>
        <w:tblStyle w:val="11"/>
        <w:tblW w:w="8819" w:type="dxa"/>
        <w:tblInd w:w="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19"/>
      </w:tblGrid>
      <w:tr>
        <w:trPr>
          <w:trHeight w:val="353" w:hRule="atLeast"/>
        </w:trPr>
        <w:tc>
          <w:tcPr>
            <w:tcW w:w="8819" w:type="dxa"/>
            <w:vAlign w:val="center"/>
          </w:tcPr>
          <w:p>
            <w:pPr>
              <w:pStyle w:val="0"/>
              <w:jc w:val="center"/>
              <w:rPr>
                <w:rFonts w:hint="default" w:ascii="ＭＳ 明朝" w:hAnsi="ＭＳ 明朝"/>
                <w:color w:val="auto"/>
              </w:rPr>
            </w:pPr>
            <w:r>
              <w:rPr>
                <w:rFonts w:hint="eastAsia" w:ascii="ＭＳ 明朝" w:hAnsi="ＭＳ 明朝"/>
                <w:color w:val="auto"/>
              </w:rPr>
              <w:t>天然更新の対象樹種</w:t>
            </w:r>
          </w:p>
        </w:tc>
      </w:tr>
      <w:tr>
        <w:trPr>
          <w:trHeight w:val="641" w:hRule="atLeast"/>
        </w:trPr>
        <w:tc>
          <w:tcPr>
            <w:tcW w:w="8819" w:type="dxa"/>
            <w:vAlign w:val="top"/>
          </w:tcPr>
          <w:p>
            <w:pPr>
              <w:pStyle w:val="0"/>
              <w:ind w:left="1470" w:hanging="1470" w:hangingChars="700"/>
              <w:rPr>
                <w:rFonts w:hint="default" w:ascii="ＭＳ 明朝" w:hAnsi="ＭＳ 明朝"/>
                <w:color w:val="auto"/>
              </w:rPr>
            </w:pPr>
            <w:r>
              <w:rPr>
                <w:rFonts w:hint="eastAsia" w:ascii="ＭＳ 明朝" w:hAnsi="ＭＳ 明朝"/>
                <w:color w:val="auto"/>
              </w:rPr>
              <w:t>天然下種更新：イタヤカエデ、カンバ類、シナノキ、ハリギリ、ハンノキ類、ミズナラ、</w:t>
            </w:r>
          </w:p>
          <w:p>
            <w:pPr>
              <w:pStyle w:val="0"/>
              <w:ind w:left="1470" w:leftChars="700"/>
              <w:rPr>
                <w:rFonts w:hint="default" w:ascii="ＭＳ 明朝" w:hAnsi="ＭＳ 明朝"/>
                <w:color w:val="auto"/>
              </w:rPr>
            </w:pPr>
            <w:r>
              <w:rPr>
                <w:rFonts w:hint="eastAsia" w:ascii="ＭＳ 明朝" w:hAnsi="ＭＳ 明朝"/>
                <w:color w:val="auto"/>
              </w:rPr>
              <w:t>ヤチダモなど高木性の樹種</w:t>
            </w:r>
          </w:p>
          <w:p>
            <w:pPr>
              <w:pStyle w:val="0"/>
              <w:ind w:left="1438" w:hanging="1438" w:hangingChars="549"/>
              <w:rPr>
                <w:rFonts w:hint="default" w:ascii="ＭＳ 明朝" w:hAnsi="ＭＳ 明朝"/>
                <w:color w:val="auto"/>
              </w:rPr>
            </w:pPr>
            <w:r>
              <w:rPr>
                <w:rFonts w:hint="eastAsia" w:ascii="ＭＳ 明朝" w:hAnsi="ＭＳ 明朝"/>
                <w:color w:val="auto"/>
                <w:spacing w:val="26"/>
                <w:kern w:val="0"/>
                <w:fitText w:val="1260" w:id="4"/>
              </w:rPr>
              <w:t>ぼう芽更</w:t>
            </w:r>
            <w:r>
              <w:rPr>
                <w:rFonts w:hint="eastAsia" w:ascii="ＭＳ 明朝" w:hAnsi="ＭＳ 明朝"/>
                <w:color w:val="auto"/>
                <w:spacing w:val="1"/>
                <w:kern w:val="0"/>
                <w:fitText w:val="1260" w:id="4"/>
              </w:rPr>
              <w:t>新</w:t>
            </w:r>
            <w:r>
              <w:rPr>
                <w:rFonts w:hint="eastAsia" w:ascii="ＭＳ 明朝" w:hAnsi="ＭＳ 明朝"/>
                <w:color w:val="auto"/>
              </w:rPr>
              <w:t>：イタヤカエデ、ハルニレ、ミズナラなど高木性でぼう芽性の強い樹種</w:t>
            </w:r>
          </w:p>
        </w:tc>
      </w:tr>
    </w:tbl>
    <w:p>
      <w:pPr>
        <w:pStyle w:val="0"/>
        <w:ind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（２）　天然更新の標準的な方法</w:t>
      </w:r>
    </w:p>
    <w:p>
      <w:pPr>
        <w:pStyle w:val="0"/>
        <w:ind w:firstLine="420" w:firstLineChars="200"/>
        <w:rPr>
          <w:rFonts w:hint="default" w:ascii="ＭＳ 明朝" w:hAnsi="ＭＳ 明朝"/>
          <w:color w:val="auto"/>
        </w:rPr>
      </w:pPr>
      <w:r>
        <w:rPr>
          <w:rFonts w:hint="eastAsia" w:ascii="ＭＳ 明朝" w:hAnsi="ＭＳ 明朝"/>
          <w:color w:val="auto"/>
        </w:rPr>
        <w:t>ア　天然更新の完了の判断基準</w:t>
      </w:r>
    </w:p>
    <w:p>
      <w:pPr>
        <w:pStyle w:val="0"/>
        <w:ind w:left="630" w:leftChars="300" w:firstLine="210" w:firstLineChars="100"/>
        <w:rPr>
          <w:rFonts w:hint="default" w:ascii="ＭＳ 明朝" w:hAnsi="ＭＳ 明朝"/>
          <w:color w:val="auto"/>
        </w:rPr>
      </w:pPr>
      <w:r>
        <w:rPr>
          <w:rFonts w:hint="eastAsia" w:ascii="ＭＳ 明朝" w:hAnsi="ＭＳ 明朝"/>
          <w:color w:val="auto"/>
        </w:rPr>
        <w:t>第２の２（３）で定める天然更新をすべき期間内に、天然に発生した稚幼樹の成立が確実に見込める樹高成長があり、かつ、周辺の植生の草丈に</w:t>
      </w:r>
      <w:r>
        <w:rPr>
          <w:rFonts w:hint="eastAsia" w:ascii="ＭＳ 明朝" w:hAnsi="ＭＳ 明朝"/>
          <w:color w:val="auto"/>
        </w:rPr>
        <w:t>50</w:t>
      </w:r>
      <w:r>
        <w:rPr>
          <w:rFonts w:hint="eastAsia" w:ascii="ＭＳ 明朝" w:hAnsi="ＭＳ 明朝"/>
          <w:color w:val="auto"/>
        </w:rPr>
        <w:t>㎝程度の余裕高を加えた樹高となった高木性樹種</w:t>
      </w:r>
      <w:r>
        <w:rPr>
          <w:rFonts w:hint="eastAsia" w:ascii="ＭＳ 明朝" w:hAnsi="ＭＳ 明朝"/>
          <w:color w:val="auto"/>
          <w:vertAlign w:val="superscript"/>
        </w:rPr>
        <w:t>（注１）</w:t>
      </w:r>
      <w:r>
        <w:rPr>
          <w:rFonts w:hint="eastAsia" w:ascii="ＭＳ 明朝" w:hAnsi="ＭＳ 明朝"/>
          <w:color w:val="auto"/>
        </w:rPr>
        <w:t>の稚幼樹等</w:t>
      </w:r>
      <w:r>
        <w:rPr>
          <w:rFonts w:hint="eastAsia" w:ascii="ＭＳ 明朝" w:hAnsi="ＭＳ 明朝"/>
          <w:color w:val="auto"/>
          <w:vertAlign w:val="superscript"/>
        </w:rPr>
        <w:t>（注２）</w:t>
      </w:r>
      <w:r>
        <w:rPr>
          <w:rFonts w:hint="eastAsia" w:ascii="ＭＳ 明朝" w:hAnsi="ＭＳ 明朝"/>
          <w:color w:val="auto"/>
        </w:rPr>
        <w:t>が、幼齢林</w:t>
      </w:r>
      <w:r>
        <w:rPr>
          <w:rFonts w:hint="eastAsia" w:ascii="ＭＳ 明朝" w:hAnsi="ＭＳ 明朝"/>
          <w:color w:val="auto"/>
          <w:vertAlign w:val="superscript"/>
        </w:rPr>
        <w:t>（注３）</w:t>
      </w:r>
      <w:r>
        <w:rPr>
          <w:rFonts w:hint="eastAsia" w:ascii="ＭＳ 明朝" w:hAnsi="ＭＳ 明朝"/>
          <w:color w:val="auto"/>
        </w:rPr>
        <w:t>にあっては成立本数が立木度</w:t>
      </w:r>
      <w:r>
        <w:rPr>
          <w:rFonts w:hint="eastAsia" w:ascii="ＭＳ 明朝" w:hAnsi="ＭＳ 明朝"/>
          <w:color w:val="auto"/>
          <w:vertAlign w:val="superscript"/>
        </w:rPr>
        <w:t>（注４）</w:t>
      </w:r>
      <w:r>
        <w:rPr>
          <w:rFonts w:hint="eastAsia" w:ascii="ＭＳ 明朝" w:hAnsi="ＭＳ 明朝"/>
          <w:color w:val="auto"/>
        </w:rPr>
        <w:t>３以上、幼齢林以外の森林にあっては林地面積</w:t>
      </w:r>
      <w:r>
        <w:rPr>
          <w:rFonts w:hint="eastAsia" w:ascii="ＭＳ 明朝" w:hAnsi="ＭＳ 明朝"/>
          <w:color w:val="auto"/>
          <w:vertAlign w:val="superscript"/>
        </w:rPr>
        <w:t>（注５）</w:t>
      </w:r>
      <w:r>
        <w:rPr>
          <w:rFonts w:hint="eastAsia" w:ascii="ＭＳ 明朝" w:hAnsi="ＭＳ 明朝"/>
          <w:color w:val="auto"/>
        </w:rPr>
        <w:t>に対する疎密度が３０％以上となった状態をもって更新完了とします。</w:t>
      </w:r>
    </w:p>
    <w:p>
      <w:pPr>
        <w:pStyle w:val="0"/>
        <w:ind w:left="630" w:leftChars="300"/>
        <w:rPr>
          <w:rFonts w:hint="default" w:ascii="ＭＳ 明朝" w:hAnsi="ＭＳ 明朝"/>
          <w:color w:val="auto"/>
        </w:rPr>
      </w:pPr>
      <w:r>
        <w:rPr>
          <w:rFonts w:hint="eastAsia" w:ascii="ＭＳ 明朝" w:hAnsi="ＭＳ 明朝"/>
          <w:color w:val="auto"/>
        </w:rPr>
        <w:t>　また、ぼう芽更新の場合は、切株から発生したぼう芽幹の生育が確実に見込める伸長があり、かつ、周辺の植生の草丈に</w:t>
      </w:r>
      <w:r>
        <w:rPr>
          <w:rFonts w:hint="eastAsia" w:ascii="ＭＳ 明朝" w:hAnsi="ＭＳ 明朝"/>
          <w:color w:val="auto"/>
        </w:rPr>
        <w:t>50</w:t>
      </w:r>
      <w:r>
        <w:rPr>
          <w:rFonts w:hint="eastAsia" w:ascii="ＭＳ 明朝" w:hAnsi="ＭＳ 明朝"/>
          <w:color w:val="auto"/>
        </w:rPr>
        <w:t>ｃｍ程度の余裕高を加えた樹高となった状態で、幼齢林にあっては成立本数が立木度３以上、幼齢林以外の森林にあっては林地面積に対する疎密度が３０％以上となった状態をもって、更新完了とします。ただし、林地内で更新の状況が異なる場合は区画を分割し、それぞれの区画に対して判断を行う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天然更新をすべき期間内に完了の判断基準を満たさない場合は、天然更新補助作業又は植栽に</w:t>
      </w:r>
    </w:p>
    <w:p>
      <w:pPr>
        <w:pStyle w:val="0"/>
        <w:ind w:left="630" w:leftChars="300"/>
        <w:rPr>
          <w:rFonts w:hint="default" w:ascii="ＭＳ 明朝" w:hAnsi="ＭＳ 明朝"/>
          <w:color w:val="auto"/>
        </w:rPr>
      </w:pPr>
      <w:r>
        <w:rPr>
          <w:rFonts w:hint="eastAsia" w:ascii="ＭＳ 明朝" w:hAnsi="ＭＳ 明朝"/>
          <w:color w:val="auto"/>
        </w:rPr>
        <w:t>より更新を図ることとします。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また、更新の方法を変更して人工造林により更新を行う場合は、「人工造林の標準的な方法」において樹種ごとに定められた標準的な本数を植栽することとします。なお、天然更新の完了を確認する方法の詳細については、「天然更新完了基準書の制定について（平成２４年５月１５日付け森林第１１１号森林計画課長通知）」によることとします。</w:t>
      </w:r>
    </w:p>
    <w:p>
      <w:pPr>
        <w:pStyle w:val="0"/>
        <w:ind w:left="1680" w:leftChars="300" w:hanging="1050" w:hangingChars="500"/>
        <w:rPr>
          <w:rFonts w:hint="default" w:ascii="ＭＳ 明朝" w:hAnsi="ＭＳ 明朝"/>
          <w:color w:val="auto"/>
        </w:rPr>
      </w:pPr>
      <w:r>
        <w:rPr>
          <w:rFonts w:hint="eastAsia" w:ascii="ＭＳ 明朝" w:hAnsi="ＭＳ 明朝"/>
          <w:color w:val="auto"/>
        </w:rPr>
        <w:t>（注１）　高木性樹種とは、将来において樹冠上層部を形成する樹種で、かつ樹高が１０ｍ以上になる樹種です。</w:t>
      </w:r>
    </w:p>
    <w:p>
      <w:pPr>
        <w:pStyle w:val="0"/>
        <w:numPr>
          <w:ilvl w:val="0"/>
          <w:numId w:val="2"/>
        </w:numPr>
        <w:rPr>
          <w:rFonts w:hint="default" w:ascii="ＭＳ 明朝" w:hAnsi="ＭＳ 明朝"/>
          <w:color w:val="auto"/>
        </w:rPr>
      </w:pPr>
      <w:r>
        <w:rPr>
          <w:rFonts w:hint="eastAsia" w:ascii="ＭＳ 明朝" w:hAnsi="ＭＳ 明朝"/>
          <w:color w:val="auto"/>
        </w:rPr>
        <w:t>稚幼樹等とは、稚幼樹のほか、保残木及びぼう芽を含みます。</w:t>
      </w:r>
    </w:p>
    <w:p>
      <w:pPr>
        <w:pStyle w:val="0"/>
        <w:numPr>
          <w:ilvl w:val="0"/>
          <w:numId w:val="2"/>
        </w:numPr>
        <w:rPr>
          <w:rFonts w:hint="default" w:ascii="ＭＳ 明朝" w:hAnsi="ＭＳ 明朝"/>
          <w:color w:val="auto"/>
        </w:rPr>
      </w:pPr>
      <w:r>
        <w:rPr>
          <w:rFonts w:hint="eastAsia" w:ascii="ＭＳ 明朝" w:hAnsi="ＭＳ 明朝"/>
          <w:color w:val="auto"/>
        </w:rPr>
        <w:t>幼齢林とは、伐採後おおむね１５年生未満の森林をいいます。</w:t>
      </w:r>
    </w:p>
    <w:p>
      <w:pPr>
        <w:pStyle w:val="0"/>
        <w:numPr>
          <w:ilvl w:val="0"/>
          <w:numId w:val="2"/>
        </w:numPr>
        <w:rPr>
          <w:rFonts w:hint="default" w:ascii="ＭＳ 明朝" w:hAnsi="ＭＳ 明朝"/>
          <w:color w:val="auto"/>
        </w:rPr>
      </w:pPr>
      <w:r>
        <w:rPr>
          <w:rFonts w:hint="eastAsia" w:ascii="ＭＳ 明朝" w:hAnsi="ＭＳ 明朝"/>
          <w:color w:val="auto"/>
        </w:rPr>
        <w:t>立木度とは、幼齢林において、現在の林分の本数と当該林分の林齢に相当する期待成立本数（天然更新すべき本数の基準）との対比を十分率であらわしたもので、立木度３は期待成立本数の３割が更新した状態をいいます。なお、伐採後５年を経過した林分における天然更新の対象樹種の期待成立本数は、別途、北海道が定める「天然更新の完了の判断基準」によるものとします。</w:t>
      </w:r>
    </w:p>
    <w:p>
      <w:pPr>
        <w:pStyle w:val="0"/>
        <w:ind w:left="630"/>
        <w:rPr>
          <w:rFonts w:hint="default" w:ascii="ＭＳ 明朝" w:hAnsi="ＭＳ 明朝"/>
          <w:color w:val="auto"/>
        </w:rPr>
      </w:pPr>
    </w:p>
    <w:tbl>
      <w:tblPr>
        <w:tblStyle w:val="11"/>
        <w:tblpPr w:leftFromText="142" w:rightFromText="142" w:topFromText="0" w:bottomFromText="0" w:vertAnchor="text" w:horzAnchor="margin" w:tblpXSpec="center" w:tblpY="2"/>
        <w:tblW w:w="7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564"/>
      </w:tblGrid>
      <w:tr>
        <w:trPr>
          <w:trHeight w:val="704" w:hRule="atLeast"/>
        </w:trPr>
        <w:tc>
          <w:tcPr>
            <w:tcW w:w="7564" w:type="dxa"/>
            <w:vAlign w:val="center"/>
          </w:tcPr>
          <w:p>
            <w:pPr>
              <w:pStyle w:val="0"/>
              <w:jc w:val="center"/>
              <w:rPr>
                <w:rFonts w:hint="default" w:ascii="ＭＳ 明朝" w:hAnsi="ＭＳ 明朝"/>
                <w:color w:val="auto"/>
              </w:rPr>
            </w:pPr>
            <w:r>
              <w:rPr>
                <w:rFonts w:hint="eastAsia" w:ascii="ＭＳ 明朝" w:hAnsi="ＭＳ 明朝"/>
                <w:color w:val="auto"/>
              </w:rPr>
              <w:t>立木度＝現在の林分の本数／当該林分の期待成立本数×</w:t>
            </w:r>
            <w:r>
              <w:rPr>
                <w:rFonts w:hint="eastAsia" w:ascii="ＭＳ 明朝" w:hAnsi="ＭＳ 明朝"/>
                <w:color w:val="auto"/>
              </w:rPr>
              <w:t>10</w:t>
            </w:r>
          </w:p>
        </w:tc>
      </w:tr>
    </w:tbl>
    <w:p>
      <w:pPr>
        <w:pStyle w:val="0"/>
        <w:ind w:left="630"/>
        <w:rPr>
          <w:rFonts w:hint="default" w:ascii="ＭＳ 明朝" w:hAnsi="ＭＳ 明朝"/>
          <w:color w:val="auto"/>
        </w:rPr>
      </w:pPr>
    </w:p>
    <w:p>
      <w:pPr>
        <w:pStyle w:val="0"/>
        <w:ind w:left="630"/>
        <w:rPr>
          <w:rFonts w:hint="default" w:ascii="ＭＳ 明朝" w:hAnsi="ＭＳ 明朝"/>
          <w:color w:val="auto"/>
        </w:rPr>
      </w:pPr>
    </w:p>
    <w:p>
      <w:pPr>
        <w:pStyle w:val="0"/>
        <w:ind w:left="630"/>
        <w:rPr>
          <w:rFonts w:hint="default" w:ascii="ＭＳ 明朝" w:hAnsi="ＭＳ 明朝"/>
          <w:color w:val="auto"/>
        </w:rPr>
      </w:pPr>
    </w:p>
    <w:p>
      <w:pPr>
        <w:pStyle w:val="0"/>
        <w:ind w:left="630"/>
        <w:rPr>
          <w:rFonts w:hint="default" w:ascii="ＭＳ 明朝" w:hAnsi="ＭＳ 明朝"/>
          <w:color w:val="auto"/>
        </w:rPr>
      </w:pPr>
      <w:r>
        <w:rPr>
          <w:rFonts w:hint="eastAsia" w:ascii="ＭＳ 明朝" w:hAnsi="ＭＳ 明朝"/>
          <w:color w:val="auto"/>
        </w:rPr>
        <w:t>（注５）　林地面積とは、更新完了の判断を行う区画の面積です。</w:t>
      </w:r>
    </w:p>
    <w:p>
      <w:pPr>
        <w:pStyle w:val="0"/>
        <w:ind w:left="708" w:leftChars="337"/>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注６</w:t>
      </w:r>
      <w:r>
        <w:rPr>
          <w:rFonts w:hint="eastAsia" w:ascii="ＭＳ 明朝" w:hAnsi="ＭＳ 明朝"/>
          <w:color w:val="auto"/>
        </w:rPr>
        <w:t>)</w:t>
      </w:r>
      <w:r>
        <w:rPr>
          <w:rFonts w:hint="eastAsia" w:ascii="ＭＳ 明朝" w:hAnsi="ＭＳ 明朝"/>
          <w:color w:val="auto"/>
        </w:rPr>
        <w:t>　「天然更新をすべき期間が満了した日における期待成立本数」</w:t>
      </w:r>
    </w:p>
    <w:p>
      <w:pPr>
        <w:pStyle w:val="0"/>
        <w:rPr>
          <w:rFonts w:hint="default" w:ascii="ＭＳ 明朝" w:hAnsi="ＭＳ 明朝"/>
          <w:color w:val="auto"/>
          <w:sz w:val="20"/>
        </w:rPr>
      </w:pPr>
      <w:r>
        <w:rPr>
          <w:rFonts w:hint="eastAsia" w:ascii="ＭＳ 明朝" w:hAnsi="ＭＳ 明朝"/>
          <w:color w:val="auto"/>
        </w:rPr>
        <w:t>　　　　　　　　</w:t>
      </w:r>
      <w:r>
        <w:rPr>
          <w:rFonts w:hint="eastAsia" w:ascii="ＭＳ 明朝" w:hAnsi="ＭＳ 明朝"/>
          <w:color w:val="auto"/>
          <w:sz w:val="20"/>
        </w:rPr>
        <w:t>広葉樹</w:t>
      </w:r>
      <w:r>
        <w:rPr>
          <w:rFonts w:hint="eastAsia" w:ascii="ＭＳ 明朝" w:hAnsi="ＭＳ 明朝"/>
          <w:color w:val="auto"/>
          <w:sz w:val="20"/>
        </w:rPr>
        <w:t xml:space="preserve"> </w:t>
      </w:r>
      <w:r>
        <w:rPr>
          <w:rFonts w:hint="eastAsia" w:ascii="ＭＳ 明朝" w:hAnsi="ＭＳ 明朝"/>
          <w:color w:val="auto"/>
        </w:rPr>
        <w:t xml:space="preserve">                        </w:t>
      </w:r>
      <w:r>
        <w:rPr>
          <w:rFonts w:hint="eastAsia" w:ascii="ＭＳ 明朝" w:hAnsi="ＭＳ 明朝"/>
          <w:color w:val="auto"/>
          <w:sz w:val="20"/>
        </w:rPr>
        <w:t>針葉樹</w:t>
      </w:r>
      <w:r>
        <w:rPr>
          <w:rFonts w:hint="eastAsia" w:ascii="ＭＳ 明朝" w:hAnsi="ＭＳ 明朝"/>
          <w:color w:val="auto"/>
          <w:sz w:val="20"/>
        </w:rPr>
        <w:t>(</w:t>
      </w:r>
      <w:r>
        <w:rPr>
          <w:rFonts w:hint="eastAsia" w:ascii="ＭＳ 明朝" w:hAnsi="ＭＳ 明朝"/>
          <w:color w:val="auto"/>
          <w:sz w:val="20"/>
        </w:rPr>
        <w:t>中層、下層は広葉樹に準じる</w:t>
      </w:r>
      <w:r>
        <w:rPr>
          <w:rFonts w:hint="eastAsia" w:ascii="ＭＳ 明朝" w:hAnsi="ＭＳ 明朝"/>
          <w:color w:val="auto"/>
          <w:sz w:val="20"/>
        </w:rPr>
        <w:t>)</w:t>
      </w:r>
    </w:p>
    <w:tbl>
      <w:tblPr>
        <w:tblStyle w:val="11"/>
        <w:tblW w:w="3428" w:type="dxa"/>
        <w:tblInd w:w="1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14"/>
        <w:gridCol w:w="2216"/>
        <w:gridCol w:w="298"/>
      </w:tblGrid>
      <w:tr>
        <w:trPr>
          <w:trHeight w:val="325" w:hRule="atLeast"/>
        </w:trPr>
        <w:tc>
          <w:tcPr>
            <w:tcW w:w="9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sz w:val="20"/>
              </w:rPr>
            </w:pPr>
            <w:r>
              <w:rPr>
                <w:rFonts w:hint="eastAsia" w:ascii="ＭＳ 明朝" w:hAnsi="ＭＳ 明朝"/>
                <w:color w:val="auto"/>
                <w:sz w:val="20"/>
              </w:rPr>
              <w:t>階層</w:t>
            </w:r>
          </w:p>
        </w:tc>
        <w:tc>
          <w:tcPr>
            <w:tcW w:w="221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ind w:left="126" w:firstLine="200" w:firstLineChars="100"/>
              <w:rPr>
                <w:rFonts w:hint="default" w:ascii="ＭＳ 明朝" w:hAnsi="ＭＳ 明朝"/>
                <w:color w:val="auto"/>
                <w:sz w:val="20"/>
              </w:rPr>
            </w:pPr>
            <w:r>
              <w:rPr>
                <w:rFonts w:hint="eastAsia" w:ascii="ＭＳ 明朝" w:hAnsi="ＭＳ 明朝"/>
                <w:color w:val="auto"/>
                <w:sz w:val="20"/>
              </w:rPr>
              <w:t>期待成立本数　　　</w:t>
            </w:r>
          </w:p>
        </w:tc>
        <w:tc>
          <w:tcPr>
            <w:tcW w:w="298" w:type="dxa"/>
            <w:vMerge w:val="restart"/>
            <w:tcBorders>
              <w:top w:val="nil"/>
              <w:left w:val="single" w:color="auto" w:sz="4" w:space="0"/>
              <w:bottom w:val="nil"/>
              <w:right w:val="nil"/>
              <w:tl2br w:val="none" w:color="auto" w:sz="0" w:space="0"/>
              <w:tr2bl w:val="none" w:color="auto" w:sz="0" w:space="0"/>
            </w:tcBorders>
            <w:vAlign w:val="top"/>
          </w:tcPr>
          <w:p>
            <w:pPr>
              <w:pStyle w:val="0"/>
              <w:jc w:val="right"/>
              <w:rPr>
                <w:rFonts w:hint="default" w:ascii="ＭＳ 明朝" w:hAnsi="ＭＳ 明朝"/>
                <w:color w:val="auto"/>
                <w:sz w:val="20"/>
              </w:rPr>
            </w:pPr>
          </w:p>
        </w:tc>
      </w:tr>
      <w:tr>
        <w:trPr>
          <w:trHeight w:val="337" w:hRule="atLeast"/>
        </w:trPr>
        <w:tc>
          <w:tcPr>
            <w:tcW w:w="9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0"/>
              </w:rPr>
            </w:pPr>
            <w:r>
              <w:rPr>
                <w:rFonts w:hint="eastAsia" w:ascii="ＭＳ 明朝" w:hAnsi="ＭＳ 明朝"/>
                <w:color w:val="auto"/>
                <w:sz w:val="20"/>
              </w:rPr>
              <w:t>上層</w:t>
            </w:r>
          </w:p>
        </w:tc>
        <w:tc>
          <w:tcPr>
            <w:tcW w:w="22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r>
              <w:rPr>
                <w:rFonts w:hint="eastAsia" w:ascii="ＭＳ 明朝" w:hAnsi="ＭＳ 明朝"/>
                <w:color w:val="auto"/>
                <w:sz w:val="20"/>
              </w:rPr>
              <w:t xml:space="preserve"> </w:t>
            </w:r>
            <w:r>
              <w:rPr>
                <w:rFonts w:hint="default" w:ascii="ＭＳ 明朝" w:hAnsi="ＭＳ 明朝"/>
                <w:color w:val="auto"/>
                <w:sz w:val="20"/>
              </w:rPr>
              <w:t xml:space="preserve">        </w:t>
            </w:r>
            <w:r>
              <w:rPr>
                <w:rFonts w:hint="eastAsia" w:ascii="ＭＳ 明朝" w:hAnsi="ＭＳ 明朝"/>
                <w:color w:val="auto"/>
                <w:sz w:val="20"/>
              </w:rPr>
              <w:t xml:space="preserve"> 300</w:t>
            </w:r>
            <w:r>
              <w:rPr>
                <w:rFonts w:hint="eastAsia" w:ascii="ＭＳ 明朝" w:hAnsi="ＭＳ 明朝"/>
                <w:color w:val="auto"/>
                <w:sz w:val="20"/>
              </w:rPr>
              <w:t>本</w:t>
            </w:r>
            <w:r>
              <w:rPr>
                <w:rFonts w:hint="eastAsia" w:ascii="ＭＳ 明朝" w:hAnsi="ＭＳ 明朝"/>
                <w:color w:val="auto"/>
                <w:sz w:val="20"/>
              </w:rPr>
              <w:t>/ha</w:t>
            </w:r>
          </w:p>
        </w:tc>
        <w:tc>
          <w:tcPr>
            <w:tcW w:w="298" w:type="dxa"/>
            <w:vMerge w:val="continue"/>
            <w:tcBorders>
              <w:top w:val="none" w:color="auto" w:sz="0" w:space="0"/>
              <w:left w:val="single" w:color="auto" w:sz="4" w:space="0"/>
              <w:bottom w:val="double" w:color="auto" w:sz="4" w:space="0"/>
              <w:right w:val="nil"/>
              <w:tl2br w:val="none" w:color="auto" w:sz="0" w:space="0"/>
              <w:tr2bl w:val="none" w:color="auto" w:sz="0" w:space="0"/>
            </w:tcBorders>
            <w:vAlign w:val="top"/>
          </w:tcPr>
          <w:p>
            <w:pPr>
              <w:pStyle w:val="0"/>
              <w:rPr>
                <w:rFonts w:hint="default"/>
              </w:rPr>
            </w:pPr>
          </w:p>
        </w:tc>
      </w:tr>
      <w:tr>
        <w:trPr>
          <w:trHeight w:val="313" w:hRule="atLeast"/>
        </w:trPr>
        <w:tc>
          <w:tcPr>
            <w:tcW w:w="9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sz w:val="20"/>
              </w:rPr>
            </w:pPr>
            <w:r>
              <w:rPr>
                <w:rFonts w:hint="eastAsia" w:ascii="ＭＳ 明朝" w:hAnsi="ＭＳ 明朝"/>
                <w:color w:val="auto"/>
                <w:sz w:val="20"/>
              </w:rPr>
              <w:t>中層</w:t>
            </w:r>
          </w:p>
        </w:tc>
        <w:tc>
          <w:tcPr>
            <w:tcW w:w="221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800" w:firstLineChars="400"/>
              <w:rPr>
                <w:rFonts w:hint="default" w:ascii="ＭＳ 明朝" w:hAnsi="ＭＳ 明朝"/>
                <w:color w:val="auto"/>
                <w:sz w:val="20"/>
              </w:rPr>
            </w:pPr>
            <w:r>
              <w:rPr>
                <w:rFonts w:hint="eastAsia" w:ascii="ＭＳ 明朝" w:hAnsi="ＭＳ 明朝"/>
                <w:color w:val="auto"/>
                <w:sz w:val="20"/>
              </w:rPr>
              <w:t>3</w:t>
            </w:r>
            <w:r>
              <w:rPr>
                <w:rFonts w:hint="default" w:ascii="ＭＳ 明朝" w:hAnsi="ＭＳ 明朝"/>
                <w:color w:val="auto"/>
                <w:sz w:val="20"/>
              </w:rPr>
              <w:t>,3</w:t>
            </w:r>
            <w:r>
              <w:rPr>
                <w:rFonts w:hint="eastAsia" w:ascii="ＭＳ 明朝" w:hAnsi="ＭＳ 明朝"/>
                <w:color w:val="auto"/>
                <w:sz w:val="20"/>
              </w:rPr>
              <w:t>00</w:t>
            </w:r>
            <w:r>
              <w:rPr>
                <w:rFonts w:hint="eastAsia" w:ascii="ＭＳ 明朝" w:hAnsi="ＭＳ 明朝"/>
                <w:color w:val="auto"/>
                <w:sz w:val="20"/>
              </w:rPr>
              <w:t>本</w:t>
            </w:r>
            <w:r>
              <w:rPr>
                <w:rFonts w:hint="eastAsia" w:ascii="ＭＳ 明朝" w:hAnsi="ＭＳ 明朝"/>
                <w:color w:val="auto"/>
                <w:sz w:val="20"/>
              </w:rPr>
              <w:t>/ha</w:t>
            </w:r>
          </w:p>
        </w:tc>
        <w:tc>
          <w:tcPr>
            <w:tcW w:w="298" w:type="dxa"/>
            <w:vMerge w:val="continue"/>
            <w:tcBorders>
              <w:top w:val="none" w:color="auto" w:sz="0" w:space="0"/>
              <w:left w:val="single" w:color="auto" w:sz="4" w:space="0"/>
              <w:bottom w:val="nil"/>
              <w:right w:val="nil"/>
              <w:tl2br w:val="none" w:color="auto" w:sz="0" w:space="0"/>
              <w:tr2bl w:val="none" w:color="auto" w:sz="0" w:space="0"/>
            </w:tcBorders>
            <w:vAlign w:val="top"/>
          </w:tcPr>
          <w:p>
            <w:pPr>
              <w:pStyle w:val="0"/>
              <w:rPr>
                <w:rFonts w:hint="default"/>
              </w:rPr>
            </w:pPr>
          </w:p>
        </w:tc>
      </w:tr>
      <w:tr>
        <w:trPr>
          <w:trHeight w:val="275" w:hRule="atLeast"/>
        </w:trPr>
        <w:tc>
          <w:tcPr>
            <w:tcW w:w="9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0"/>
              </w:rPr>
            </w:pPr>
            <w:r>
              <w:rPr>
                <w:rFonts w:hint="eastAsia" w:ascii="ＭＳ 明朝" w:hAnsi="ＭＳ 明朝"/>
                <w:color w:val="auto"/>
                <w:sz w:val="20"/>
              </w:rPr>
              <w:t>下層</w:t>
            </w:r>
          </w:p>
        </w:tc>
        <w:tc>
          <w:tcPr>
            <w:tcW w:w="22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700" w:firstLineChars="350"/>
              <w:rPr>
                <w:rFonts w:hint="default" w:ascii="ＭＳ 明朝" w:hAnsi="ＭＳ 明朝"/>
                <w:color w:val="auto"/>
                <w:sz w:val="20"/>
              </w:rPr>
            </w:pPr>
            <w:r>
              <w:rPr>
                <w:rFonts w:hint="default" w:ascii="ＭＳ 明朝" w:hAnsi="ＭＳ 明朝"/>
                <w:color w:val="auto"/>
                <w:sz w:val="20"/>
              </w:rPr>
              <w:t>10,0</w:t>
            </w:r>
            <w:r>
              <w:rPr>
                <w:rFonts w:hint="eastAsia" w:ascii="ＭＳ 明朝" w:hAnsi="ＭＳ 明朝"/>
                <w:color w:val="auto"/>
                <w:sz w:val="20"/>
              </w:rPr>
              <w:t>00</w:t>
            </w:r>
            <w:r>
              <w:rPr>
                <w:rFonts w:hint="eastAsia" w:ascii="ＭＳ 明朝" w:hAnsi="ＭＳ 明朝"/>
                <w:color w:val="auto"/>
                <w:sz w:val="20"/>
              </w:rPr>
              <w:t>本</w:t>
            </w:r>
            <w:r>
              <w:rPr>
                <w:rFonts w:hint="eastAsia" w:ascii="ＭＳ 明朝" w:hAnsi="ＭＳ 明朝"/>
                <w:color w:val="auto"/>
                <w:sz w:val="20"/>
              </w:rPr>
              <w:t>/ha</w:t>
            </w:r>
          </w:p>
        </w:tc>
        <w:tc>
          <w:tcPr>
            <w:tcW w:w="298" w:type="dxa"/>
            <w:vMerge w:val="continue"/>
            <w:tcBorders>
              <w:top w:val="nil"/>
              <w:left w:val="single" w:color="auto" w:sz="4" w:space="0"/>
              <w:bottom w:val="nil"/>
              <w:right w:val="nil"/>
              <w:tl2br w:val="none" w:color="auto" w:sz="0" w:space="0"/>
              <w:tr2bl w:val="none" w:color="auto" w:sz="0" w:space="0"/>
            </w:tcBorders>
            <w:vAlign w:val="top"/>
          </w:tcPr>
          <w:p>
            <w:pPr>
              <w:pStyle w:val="0"/>
              <w:rPr>
                <w:rFonts w:hint="default"/>
              </w:rPr>
            </w:pPr>
          </w:p>
        </w:tc>
      </w:tr>
    </w:tbl>
    <w:tbl>
      <w:tblPr>
        <w:tblStyle w:val="11"/>
        <w:tblpPr w:leftFromText="142" w:rightFromText="142" w:topFromText="0" w:bottomFromText="0" w:vertAnchor="text" w:horzAnchor="text" w:tblpX="5030" w:tblpY="-128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639"/>
        <w:gridCol w:w="1800"/>
      </w:tblGrid>
      <w:tr>
        <w:trPr>
          <w:trHeight w:val="240" w:hRule="atLeast"/>
        </w:trPr>
        <w:tc>
          <w:tcPr>
            <w:tcW w:w="26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階層</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期待成立本数</w:t>
            </w:r>
          </w:p>
        </w:tc>
      </w:tr>
      <w:tr>
        <w:trPr>
          <w:trHeight w:val="230" w:hRule="atLeast"/>
        </w:trPr>
        <w:tc>
          <w:tcPr>
            <w:tcW w:w="26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color w:val="auto"/>
              </w:rPr>
              <w:t>上層（カラマツ）</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asciiTheme="minorEastAsia" w:hAnsiTheme="minorEastAsia" w:eastAsiaTheme="minorEastAsia"/>
                <w:color w:val="auto"/>
              </w:rPr>
              <w:t>300</w:t>
            </w:r>
            <w:r>
              <w:rPr>
                <w:rFonts w:hint="eastAsia"/>
                <w:color w:val="auto"/>
              </w:rPr>
              <w:t>本</w:t>
            </w:r>
            <w:r>
              <w:rPr>
                <w:rFonts w:hint="eastAsia"/>
                <w:color w:val="auto"/>
              </w:rPr>
              <w:t>/</w:t>
            </w:r>
            <w:r>
              <w:rPr>
                <w:rFonts w:hint="eastAsia"/>
                <w:color w:val="auto"/>
              </w:rPr>
              <w:t>㏊</w:t>
            </w:r>
          </w:p>
        </w:tc>
      </w:tr>
      <w:tr>
        <w:trPr>
          <w:trHeight w:val="190" w:hRule="atLeast"/>
        </w:trPr>
        <w:tc>
          <w:tcPr>
            <w:tcW w:w="26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r>
              <w:rPr>
                <w:rFonts w:hint="eastAsia"/>
                <w:color w:val="auto"/>
              </w:rPr>
              <w:t>上層（その他の針葉樹）</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auto"/>
              </w:rPr>
            </w:pPr>
            <w:r>
              <w:rPr>
                <w:rFonts w:hint="eastAsia" w:asciiTheme="minorEastAsia" w:hAnsiTheme="minorEastAsia" w:eastAsiaTheme="minorEastAsia"/>
                <w:color w:val="auto"/>
              </w:rPr>
              <w:t>600</w:t>
            </w:r>
            <w:r>
              <w:rPr>
                <w:rFonts w:hint="eastAsia"/>
                <w:color w:val="auto"/>
              </w:rPr>
              <w:t>本</w:t>
            </w:r>
            <w:r>
              <w:rPr>
                <w:rFonts w:hint="eastAsia"/>
                <w:color w:val="auto"/>
              </w:rPr>
              <w:t>/</w:t>
            </w:r>
            <w:r>
              <w:rPr>
                <w:rFonts w:hint="eastAsia"/>
                <w:color w:val="auto"/>
              </w:rPr>
              <w:t>㏊</w:t>
            </w:r>
          </w:p>
        </w:tc>
      </w:tr>
    </w:tbl>
    <w:p>
      <w:pPr>
        <w:pStyle w:val="0"/>
        <w:rPr>
          <w:rFonts w:hint="default" w:ascii="ＭＳ 明朝" w:hAnsi="ＭＳ 明朝"/>
          <w:color w:val="auto"/>
          <w:sz w:val="18"/>
        </w:rPr>
      </w:pPr>
      <w:r>
        <w:rPr>
          <w:rFonts w:hint="eastAsia" w:ascii="ＭＳ 明朝" w:hAnsi="ＭＳ 明朝"/>
          <w:color w:val="auto"/>
        </w:rPr>
        <w:t>　　　　</w:t>
      </w:r>
      <w:r>
        <w:rPr>
          <w:rFonts w:hint="eastAsia" w:ascii="ＭＳ 明朝" w:hAnsi="ＭＳ 明朝"/>
          <w:color w:val="auto"/>
          <w:sz w:val="18"/>
        </w:rPr>
        <w:t>　　　上層</w:t>
      </w:r>
      <w:r>
        <w:rPr>
          <w:rFonts w:hint="eastAsia" w:ascii="ＭＳ 明朝" w:hAnsi="ＭＳ 明朝"/>
          <w:color w:val="auto"/>
          <w:sz w:val="18"/>
        </w:rPr>
        <w:t>:</w:t>
      </w:r>
      <w:r>
        <w:rPr>
          <w:rFonts w:hint="eastAsia" w:ascii="ＭＳ 明朝" w:hAnsi="ＭＳ 明朝"/>
          <w:color w:val="auto"/>
          <w:sz w:val="18"/>
        </w:rPr>
        <w:t>母樹になりうる前生樹で、樹冠が大きく成長した壮齢林、老齢林</w:t>
      </w:r>
      <w:r>
        <w:rPr>
          <w:rFonts w:hint="eastAsia" w:ascii="ＭＳ 明朝" w:hAnsi="ＭＳ 明朝"/>
          <w:color w:val="auto"/>
          <w:sz w:val="18"/>
        </w:rPr>
        <w:t>(</w:t>
      </w:r>
      <w:r>
        <w:rPr>
          <w:rFonts w:hint="eastAsia" w:ascii="ＭＳ 明朝" w:hAnsi="ＭＳ 明朝"/>
          <w:color w:val="auto"/>
          <w:sz w:val="18"/>
        </w:rPr>
        <w:t>天然林の標準伐期齢</w:t>
      </w:r>
      <w:r>
        <w:rPr>
          <w:rFonts w:hint="eastAsia" w:ascii="ＭＳ 明朝" w:hAnsi="ＭＳ 明朝"/>
          <w:color w:val="auto"/>
          <w:sz w:val="18"/>
        </w:rPr>
        <w:t>)</w:t>
      </w:r>
    </w:p>
    <w:p>
      <w:pPr>
        <w:pStyle w:val="0"/>
        <w:rPr>
          <w:rFonts w:hint="default" w:ascii="ＭＳ 明朝" w:hAnsi="ＭＳ 明朝"/>
          <w:color w:val="auto"/>
          <w:sz w:val="18"/>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　中層</w:t>
      </w:r>
      <w:r>
        <w:rPr>
          <w:rFonts w:hint="eastAsia" w:ascii="ＭＳ 明朝" w:hAnsi="ＭＳ 明朝"/>
          <w:color w:val="auto"/>
          <w:sz w:val="18"/>
        </w:rPr>
        <w:t>:</w:t>
      </w:r>
      <w:r>
        <w:rPr>
          <w:rFonts w:hint="eastAsia" w:ascii="ＭＳ 明朝" w:hAnsi="ＭＳ 明朝"/>
          <w:color w:val="auto"/>
          <w:sz w:val="18"/>
        </w:rPr>
        <w:t>伐採後に更新したと考えられるもののうち、樹種特性上初期成長が早い樹種及び前生樹な</w:t>
      </w:r>
    </w:p>
    <w:p>
      <w:pPr>
        <w:pStyle w:val="0"/>
        <w:rPr>
          <w:rFonts w:hint="default" w:ascii="ＭＳ 明朝" w:hAnsi="ＭＳ 明朝"/>
          <w:color w:val="auto"/>
          <w:sz w:val="18"/>
        </w:rPr>
      </w:pPr>
      <w:r>
        <w:rPr>
          <w:rFonts w:hint="eastAsia" w:ascii="ＭＳ 明朝" w:hAnsi="ＭＳ 明朝"/>
          <w:color w:val="auto"/>
          <w:sz w:val="18"/>
        </w:rPr>
        <w:t>　　　　　　　　　　どで上層木より樹冠面積の小さいもの</w:t>
      </w:r>
    </w:p>
    <w:p>
      <w:pPr>
        <w:pStyle w:val="0"/>
        <w:rPr>
          <w:rFonts w:hint="default" w:ascii="ＭＳ 明朝" w:hAnsi="ＭＳ 明朝"/>
          <w:color w:val="auto"/>
        </w:rPr>
      </w:pPr>
      <w:r>
        <w:rPr>
          <w:rFonts w:hint="eastAsia" w:ascii="ＭＳ 明朝" w:hAnsi="ＭＳ 明朝"/>
          <w:color w:val="auto"/>
          <w:sz w:val="18"/>
        </w:rPr>
        <w:t>　　　　　　</w:t>
      </w:r>
      <w:r>
        <w:rPr>
          <w:rFonts w:hint="eastAsia" w:ascii="ＭＳ 明朝" w:hAnsi="ＭＳ 明朝"/>
          <w:color w:val="auto"/>
          <w:sz w:val="18"/>
        </w:rPr>
        <w:t xml:space="preserve"> </w:t>
      </w:r>
      <w:r>
        <w:rPr>
          <w:rFonts w:hint="eastAsia" w:ascii="ＭＳ 明朝" w:hAnsi="ＭＳ 明朝"/>
          <w:color w:val="auto"/>
          <w:sz w:val="18"/>
        </w:rPr>
        <w:t>　下層</w:t>
      </w:r>
      <w:r>
        <w:rPr>
          <w:rFonts w:hint="eastAsia" w:ascii="ＭＳ 明朝" w:hAnsi="ＭＳ 明朝"/>
          <w:color w:val="auto"/>
          <w:sz w:val="18"/>
        </w:rPr>
        <w:t>:</w:t>
      </w:r>
      <w:r>
        <w:rPr>
          <w:rFonts w:hint="eastAsia" w:ascii="ＭＳ 明朝" w:hAnsi="ＭＳ 明朝"/>
          <w:color w:val="auto"/>
          <w:sz w:val="18"/>
        </w:rPr>
        <w:t>中層木よりも樹冠面積の小さいもの</w:t>
      </w:r>
    </w:p>
    <w:p>
      <w:pPr>
        <w:pStyle w:val="0"/>
        <w:ind w:firstLine="420" w:firstLineChars="200"/>
        <w:rPr>
          <w:rFonts w:hint="default" w:ascii="ＭＳ 明朝" w:hAnsi="ＭＳ 明朝"/>
          <w:color w:val="auto"/>
        </w:rPr>
      </w:pPr>
      <w:r>
        <w:rPr>
          <w:rFonts w:hint="eastAsia" w:ascii="ＭＳ 明朝" w:hAnsi="ＭＳ 明朝"/>
          <w:color w:val="auto"/>
        </w:rPr>
        <w:t>イ　天然更新補助作業の標準的な方法</w:t>
      </w:r>
    </w:p>
    <w:p>
      <w:pPr>
        <w:pStyle w:val="0"/>
        <w:ind w:left="630" w:leftChars="300" w:firstLine="210" w:firstLineChars="100"/>
        <w:rPr>
          <w:rFonts w:hint="default" w:ascii="ＭＳ 明朝" w:hAnsi="ＭＳ 明朝"/>
          <w:color w:val="auto"/>
        </w:rPr>
      </w:pPr>
      <w:r>
        <w:rPr>
          <w:rFonts w:hint="eastAsia" w:ascii="ＭＳ 明朝" w:hAnsi="ＭＳ 明朝"/>
          <w:color w:val="auto"/>
        </w:rPr>
        <w:t>天然下種により更新を確保する場合、ササや粗腐植の堆積等により更新が阻害されている箇所については、かき起こしや枝条整理等を行うこととし、ササなどの下層植生により天然稚幼樹の生育が阻害されている箇所については、刈出しを行う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また、ぼう芽により更新を確保する場合は、樹液の流動期（６～８月）を避けて伐採することとし、ぼう芽の発生状況等を考慮の上、必要に応じ芽かきまたは植え込みを行うこととします。いずれの箇所も定期的に更新の状況等を確認し、必要に応じ補植等を行い更新を確保することとします。</w:t>
      </w:r>
    </w:p>
    <w:p>
      <w:pPr>
        <w:pStyle w:val="0"/>
        <w:ind w:left="630" w:leftChars="300" w:firstLine="210" w:firstLineChars="100"/>
        <w:rPr>
          <w:rFonts w:hint="default" w:ascii="ＭＳ 明朝" w:hAnsi="ＭＳ 明朝"/>
          <w:color w:val="auto"/>
        </w:rPr>
      </w:pPr>
      <w:r>
        <w:rPr>
          <w:rFonts w:hint="eastAsia" w:ascii="ＭＳ 明朝" w:hAnsi="ＭＳ 明朝"/>
          <w:color w:val="auto"/>
        </w:rPr>
        <w:t>なお、かき起こしの実施にあたっては、林地の保全に十分留意することとし、更新が不十分な箇所については、補植等を行って更新を確保することとします。</w:t>
      </w:r>
    </w:p>
    <w:p>
      <w:pPr>
        <w:pStyle w:val="0"/>
        <w:ind w:firstLine="210" w:firstLineChars="100"/>
        <w:rPr>
          <w:rFonts w:hint="default" w:ascii="ＭＳ 明朝" w:hAnsi="ＭＳ 明朝"/>
          <w:color w:val="auto"/>
        </w:rPr>
      </w:pPr>
      <w:r>
        <w:rPr>
          <w:rFonts w:hint="eastAsia" w:ascii="ＭＳ 明朝" w:hAnsi="ＭＳ 明朝"/>
          <w:color w:val="auto"/>
        </w:rPr>
        <w:t>（３）　伐採跡地の天然更新をすべき期間</w:t>
      </w:r>
    </w:p>
    <w:p>
      <w:pPr>
        <w:pStyle w:val="0"/>
        <w:ind w:left="840" w:leftChars="400" w:firstLine="210" w:firstLineChars="100"/>
        <w:rPr>
          <w:rFonts w:hint="default" w:ascii="ＭＳ 明朝" w:hAnsi="ＭＳ 明朝"/>
          <w:color w:val="auto"/>
        </w:rPr>
      </w:pPr>
      <w:r>
        <w:rPr>
          <w:rFonts w:hint="eastAsia" w:ascii="ＭＳ 明朝" w:hAnsi="ＭＳ 明朝"/>
          <w:color w:val="auto"/>
        </w:rPr>
        <w:t>伐採跡地における林地の荒廃を防止する観点から、皆伐、択伐に関わらず原則として伐採が終了した日を含む年度の翌年度の初日から起算して５年以内に更新を完了させることとします。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期間内に更新が完了しなかった場合は、速やかに更新を図る観点から、伐採が終了した日を含む年度の翌年度の初日から起算して７年を経過する日までに天然更新補助作業又は植栽により更新を行うこととします。</w:t>
      </w:r>
    </w:p>
    <w:p>
      <w:pPr>
        <w:pStyle w:val="0"/>
        <w:ind w:left="840" w:leftChars="400" w:firstLine="210" w:firstLineChars="100"/>
        <w:rPr>
          <w:rFonts w:hint="default" w:ascii="ＭＳ 明朝" w:hAnsi="ＭＳ 明朝"/>
          <w:color w:val="auto"/>
        </w:rPr>
      </w:pPr>
    </w:p>
    <w:p>
      <w:pPr>
        <w:pStyle w:val="0"/>
        <w:rPr>
          <w:rFonts w:hint="default" w:ascii="ＭＳ 明朝" w:hAnsi="ＭＳ 明朝"/>
          <w:strike w:val="1"/>
          <w:color w:val="auto"/>
        </w:rPr>
      </w:pPr>
      <w:r>
        <w:rPr>
          <w:rFonts w:hint="eastAsia" w:ascii="ＭＳ 明朝" w:hAnsi="ＭＳ 明朝"/>
          <w:color w:val="auto"/>
        </w:rPr>
        <w:t>３　植栽によらなければ適確な更新が困難な森林に関する事項</w:t>
      </w:r>
    </w:p>
    <w:p>
      <w:pPr>
        <w:pStyle w:val="0"/>
        <w:rPr>
          <w:rFonts w:hint="default" w:ascii="ＭＳ 明朝" w:hAnsi="ＭＳ 明朝"/>
          <w:color w:val="auto"/>
        </w:rPr>
      </w:pPr>
      <w:r>
        <w:rPr>
          <w:rFonts w:hint="eastAsia" w:ascii="ＭＳ 明朝" w:hAnsi="ＭＳ 明朝"/>
          <w:color w:val="auto"/>
        </w:rPr>
        <w:t>　（１）　植栽によらなければ適確な更新が困難な森林の基準</w:t>
      </w:r>
    </w:p>
    <w:p>
      <w:pPr>
        <w:pStyle w:val="0"/>
        <w:ind w:left="840" w:leftChars="400" w:firstLine="210" w:firstLineChars="100"/>
        <w:rPr>
          <w:rFonts w:hint="default" w:ascii="ＭＳ 明朝" w:hAnsi="ＭＳ 明朝"/>
          <w:color w:val="auto"/>
          <w:u w:val="none" w:color="auto"/>
        </w:rPr>
      </w:pPr>
      <w:r>
        <w:rPr>
          <w:rFonts w:hint="eastAsia" w:ascii="ＭＳ 明朝" w:hAnsi="ＭＳ 明朝"/>
          <w:color w:val="auto"/>
          <w:u w:val="none" w:color="auto"/>
        </w:rPr>
        <w:t>主伐後の適確な更新を図るため、次の森林については原則として「植栽によらなければ適確な更新が困難な森林」とし、植栽により更新を図ることとします。</w:t>
      </w:r>
    </w:p>
    <w:p>
      <w:pPr>
        <w:pStyle w:val="0"/>
        <w:ind w:left="840" w:leftChars="400" w:firstLine="210" w:firstLineChars="100"/>
        <w:rPr>
          <w:rFonts w:hint="default" w:ascii="ＭＳ 明朝" w:hAnsi="ＭＳ 明朝"/>
          <w:color w:val="auto"/>
          <w:u w:val="none" w:color="auto"/>
        </w:rPr>
      </w:pPr>
      <w:r>
        <w:rPr>
          <w:rFonts w:hint="eastAsia" w:ascii="ＭＳ 明朝" w:hAnsi="ＭＳ 明朝"/>
          <w:color w:val="auto"/>
          <w:u w:val="none" w:color="auto"/>
        </w:rPr>
        <w:t>なお、植栽によらなければ適確な更新が困難な森林の基準及び区域は、自然条件や森林の有する機能の早期回復に対する地域住民等からの社会的要請などを勘案し、別表３のとおり指定します。</w:t>
      </w:r>
    </w:p>
    <w:p>
      <w:pPr>
        <w:pStyle w:val="0"/>
        <w:ind w:firstLine="840" w:firstLineChars="400"/>
        <w:rPr>
          <w:rFonts w:hint="default" w:ascii="ＭＳ 明朝" w:hAnsi="ＭＳ 明朝"/>
          <w:color w:val="auto"/>
          <w:u w:val="none" w:color="auto"/>
        </w:rPr>
      </w:pPr>
      <w:r>
        <w:rPr>
          <w:rFonts w:hint="eastAsia" w:ascii="ＭＳ 明朝" w:hAnsi="ＭＳ 明朝"/>
          <w:color w:val="auto"/>
          <w:u w:val="none" w:color="auto"/>
        </w:rPr>
        <w:t>①　気候、地形、地質、土壌等の自然条件及び植生等により天然更新が期待できない森林</w:t>
      </w:r>
    </w:p>
    <w:p>
      <w:pPr>
        <w:pStyle w:val="0"/>
        <w:ind w:left="1050" w:leftChars="400" w:hanging="210" w:hangingChars="100"/>
        <w:rPr>
          <w:rFonts w:hint="default" w:ascii="ＭＳ 明朝" w:hAnsi="ＭＳ 明朝"/>
          <w:color w:val="auto"/>
          <w:u w:val="none" w:color="auto"/>
        </w:rPr>
      </w:pPr>
      <w:r>
        <w:rPr>
          <w:rFonts w:hint="eastAsia" w:ascii="ＭＳ 明朝" w:hAnsi="ＭＳ 明朝"/>
          <w:color w:val="auto"/>
          <w:u w:val="none" w:color="auto"/>
        </w:rPr>
        <w:t>　　なお、天然更新が期待できない森林は、現況が針葉樹人工林であり、母樹となり得る高木性の広葉樹林が更新対象地の斜面上方や周囲</w:t>
      </w:r>
      <w:r>
        <w:rPr>
          <w:rFonts w:hint="eastAsia" w:ascii="ＭＳ 明朝" w:hAnsi="ＭＳ 明朝"/>
          <w:color w:val="auto"/>
          <w:u w:val="none" w:color="auto"/>
        </w:rPr>
        <w:t>100</w:t>
      </w:r>
      <w:r>
        <w:rPr>
          <w:rFonts w:hint="eastAsia" w:ascii="ＭＳ 明朝" w:hAnsi="ＭＳ 明朝"/>
          <w:color w:val="auto"/>
          <w:u w:val="none" w:color="auto"/>
        </w:rPr>
        <w:t>ｍ以内に存在せず、林床にも更新樹種が存在しない森林を基本として定めます。</w:t>
      </w:r>
    </w:p>
    <w:p>
      <w:pPr>
        <w:pStyle w:val="0"/>
        <w:ind w:firstLine="840" w:firstLineChars="400"/>
        <w:rPr>
          <w:rFonts w:hint="default" w:ascii="ＭＳ 明朝" w:hAnsi="ＭＳ 明朝"/>
          <w:color w:val="auto"/>
          <w:u w:val="none" w:color="auto"/>
        </w:rPr>
      </w:pPr>
      <w:r>
        <w:rPr>
          <w:rFonts w:hint="eastAsia" w:ascii="ＭＳ 明朝" w:hAnsi="ＭＳ 明朝"/>
          <w:color w:val="auto"/>
          <w:u w:val="none" w:color="auto"/>
        </w:rPr>
        <w:t>②　水源</w:t>
      </w:r>
      <w:r>
        <w:rPr>
          <w:rFonts w:hint="eastAsia" w:ascii="ＭＳ 明朝" w:hAnsi="ＭＳ 明朝"/>
          <w:color w:val="auto"/>
          <w:u w:val="none" w:color="auto"/>
        </w:rPr>
        <w:fldChar w:fldCharType="begin"/>
      </w:r>
      <w:r>
        <w:rPr>
          <w:rFonts w:hint="eastAsia" w:ascii="ＭＳ 明朝" w:hAnsi="ＭＳ 明朝"/>
          <w:color w:val="auto"/>
          <w:u w:val="none" w:color="auto"/>
        </w:rPr>
        <w:instrText>EQ \* jc2 \* hps10 \o\ad(\s\up 9(</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u w:val="none" w:color="auto"/>
        </w:rPr>
        <w:instrText>),</w:instrText>
      </w:r>
      <w:r>
        <w:rPr>
          <w:rFonts w:hint="eastAsia" w:ascii="ＭＳ 明朝" w:hAnsi="ＭＳ 明朝"/>
          <w:color w:val="auto"/>
          <w:u w:val="none" w:color="auto"/>
        </w:rPr>
        <w:instrText>涵</w:instrText>
      </w:r>
      <w:r>
        <w:rPr>
          <w:rFonts w:hint="eastAsia" w:ascii="ＭＳ 明朝" w:hAnsi="ＭＳ 明朝"/>
          <w:color w:val="auto"/>
          <w:u w:val="none" w:color="auto"/>
        </w:rPr>
        <w:instrText>)</w:instrText>
      </w:r>
      <w:r>
        <w:rPr>
          <w:rFonts w:hint="eastAsia" w:ascii="ＭＳ 明朝" w:hAnsi="ＭＳ 明朝"/>
          <w:color w:val="auto"/>
          <w:u w:val="none" w:color="auto"/>
        </w:rPr>
        <w:fldChar w:fldCharType="end"/>
      </w:r>
      <w:r>
        <w:rPr>
          <w:rFonts w:hint="eastAsia" w:ascii="ＭＳ 明朝" w:hAnsi="ＭＳ 明朝"/>
          <w:color w:val="auto"/>
          <w:u w:val="none" w:color="auto"/>
        </w:rPr>
        <w:t>養機能の早期回復が特に求められる水資源保全ゾーンの森林</w:t>
      </w:r>
    </w:p>
    <w:p>
      <w:pPr>
        <w:pStyle w:val="0"/>
        <w:ind w:left="840" w:leftChars="400" w:firstLine="210" w:firstLineChars="100"/>
        <w:rPr>
          <w:rFonts w:hint="default" w:ascii="ＭＳ 明朝" w:hAnsi="ＭＳ 明朝"/>
          <w:color w:val="000000" w:themeColor="text1"/>
          <w:u w:val="none" w:color="auto"/>
        </w:rPr>
      </w:pPr>
      <w:r>
        <w:rPr>
          <w:rFonts w:hint="eastAsia" w:ascii="ＭＳ 明朝" w:hAnsi="ＭＳ 明朝" w:eastAsia="ＭＳ 明朝"/>
          <w:color w:val="000000" w:themeColor="text1"/>
          <w:kern w:val="24"/>
          <w:sz w:val="22"/>
          <w:u w:val="none" w:color="auto"/>
        </w:rPr>
        <w:t>なお、天然更新</w:t>
      </w:r>
      <w:r>
        <w:rPr>
          <w:rFonts w:hint="default" w:ascii="ＭＳ 明朝" w:hAnsi="ＭＳ 明朝" w:eastAsia="ＭＳ 明朝"/>
          <w:color w:val="000000" w:themeColor="text1"/>
          <w:kern w:val="24"/>
          <w:sz w:val="22"/>
          <w:u w:val="none" w:color="auto"/>
        </w:rPr>
        <w:t>が期待できない森林は、</w:t>
      </w:r>
      <w:r>
        <w:rPr>
          <w:rFonts w:hint="eastAsia" w:ascii="ＭＳ 明朝" w:hAnsi="ＭＳ 明朝" w:eastAsia="ＭＳ 明朝"/>
          <w:color w:val="000000" w:themeColor="text1"/>
          <w:kern w:val="24"/>
          <w:sz w:val="22"/>
          <w:u w:val="none" w:color="auto"/>
        </w:rPr>
        <w:t>現況が針葉樹人工林であり、母樹となり得る高木性の広葉樹林が更新対象地の斜面上方や周囲</w:t>
      </w:r>
      <w:r>
        <w:rPr>
          <w:rFonts w:hint="eastAsia" w:ascii="ＭＳ 明朝" w:hAnsi="ＭＳ 明朝" w:eastAsia="ＭＳ 明朝"/>
          <w:color w:val="000000" w:themeColor="text1"/>
          <w:kern w:val="24"/>
          <w:sz w:val="22"/>
          <w:u w:val="none" w:color="auto"/>
        </w:rPr>
        <w:t xml:space="preserve">100m </w:t>
      </w:r>
      <w:r>
        <w:rPr>
          <w:rFonts w:hint="eastAsia" w:ascii="ＭＳ 明朝" w:hAnsi="ＭＳ 明朝" w:eastAsia="ＭＳ 明朝"/>
          <w:color w:val="000000" w:themeColor="text1"/>
          <w:kern w:val="24"/>
          <w:sz w:val="22"/>
          <w:u w:val="none" w:color="auto"/>
        </w:rPr>
        <w:t>以内に存在せず、林床にも更新樹種が存在しない森林を基本として定めます。</w:t>
      </w:r>
    </w:p>
    <w:p>
      <w:pPr>
        <w:pStyle w:val="0"/>
        <w:ind w:firstLine="1050" w:firstLineChars="500"/>
        <w:rPr>
          <w:rFonts w:hint="default" w:ascii="ＭＳ 明朝" w:hAnsi="ＭＳ 明朝"/>
          <w:color w:val="auto"/>
          <w:u w:val="none" w:color="auto"/>
        </w:rPr>
      </w:pPr>
      <w:r>
        <w:rPr>
          <w:rFonts w:hint="eastAsia" w:ascii="ＭＳ 明朝" w:hAnsi="ＭＳ 明朝"/>
          <w:color w:val="auto"/>
          <w:u w:val="none" w:color="auto"/>
        </w:rPr>
        <w:t>また、次の箇所は植栽によらなければ適確な更新が困難な森林の区域には含めないこととします。</w:t>
      </w:r>
    </w:p>
    <w:p>
      <w:pPr>
        <w:pStyle w:val="0"/>
        <w:ind w:firstLine="840" w:firstLineChars="400"/>
        <w:rPr>
          <w:rFonts w:hint="default" w:ascii="ＭＳ 明朝" w:hAnsi="ＭＳ 明朝"/>
          <w:color w:val="auto"/>
          <w:u w:val="none" w:color="auto"/>
        </w:rPr>
      </w:pPr>
      <w:r>
        <w:rPr>
          <w:rFonts w:hint="eastAsia" w:ascii="ＭＳ 明朝" w:hAnsi="ＭＳ 明朝"/>
          <w:color w:val="auto"/>
          <w:u w:val="none" w:color="auto"/>
        </w:rPr>
        <w:t>①　保安林等の制限林内で施業方法が定められている森林</w:t>
      </w:r>
    </w:p>
    <w:p>
      <w:pPr>
        <w:pStyle w:val="0"/>
        <w:ind w:firstLine="840" w:firstLineChars="400"/>
        <w:rPr>
          <w:rFonts w:hint="default" w:ascii="ＭＳ 明朝" w:hAnsi="ＭＳ 明朝"/>
          <w:color w:val="auto"/>
          <w:u w:val="none" w:color="auto"/>
        </w:rPr>
      </w:pPr>
      <w:r>
        <w:rPr>
          <w:rFonts w:hint="eastAsia" w:ascii="ＭＳ 明朝" w:hAnsi="ＭＳ 明朝"/>
          <w:color w:val="auto"/>
          <w:u w:val="none" w:color="auto"/>
        </w:rPr>
        <w:t>②　保健機能森林の区域内における森林保健施設の設置が見込まれる森林</w:t>
      </w:r>
    </w:p>
    <w:p>
      <w:pPr>
        <w:pStyle w:val="0"/>
        <w:ind w:firstLine="840" w:firstLineChars="400"/>
        <w:rPr>
          <w:rFonts w:hint="default" w:ascii="ＭＳ 明朝" w:hAnsi="ＭＳ 明朝"/>
          <w:color w:val="auto"/>
          <w:u w:val="none" w:color="auto"/>
        </w:rPr>
      </w:pPr>
      <w:r>
        <w:rPr>
          <w:rFonts w:hint="eastAsia" w:ascii="ＭＳ 明朝" w:hAnsi="ＭＳ 明朝"/>
          <w:color w:val="auto"/>
          <w:u w:val="none" w:color="auto"/>
        </w:rPr>
        <w:t>③　公益的機能別施業森林の区域で別途更新の方法が定められている森林</w:t>
      </w:r>
    </w:p>
    <w:p>
      <w:pPr>
        <w:pStyle w:val="0"/>
        <w:ind w:firstLine="840" w:firstLineChars="400"/>
        <w:rPr>
          <w:rFonts w:hint="default" w:ascii="ＭＳ 明朝" w:hAnsi="ＭＳ 明朝"/>
          <w:color w:val="auto"/>
          <w:u w:val="none" w:color="auto"/>
        </w:rPr>
      </w:pPr>
      <w:r>
        <w:rPr>
          <w:rFonts w:hint="eastAsia" w:ascii="ＭＳ 明朝" w:hAnsi="ＭＳ 明朝"/>
          <w:color w:val="auto"/>
          <w:u w:val="none" w:color="auto"/>
        </w:rPr>
        <w:t>④　湿地、風衝地、岩石地等で更新が著しく困難な森林</w:t>
      </w:r>
    </w:p>
    <w:p>
      <w:pPr>
        <w:pStyle w:val="0"/>
        <w:ind w:firstLine="840" w:firstLineChars="400"/>
        <w:rPr>
          <w:rFonts w:hint="default" w:ascii="ＭＳ 明朝" w:hAnsi="ＭＳ 明朝"/>
          <w:color w:val="auto"/>
          <w:u w:val="none" w:color="auto"/>
        </w:rPr>
      </w:pPr>
      <w:r>
        <w:rPr>
          <w:rFonts w:hint="eastAsia" w:ascii="ＭＳ 明朝" w:hAnsi="ＭＳ 明朝"/>
          <w:color w:val="auto"/>
          <w:u w:val="none" w:color="auto"/>
        </w:rPr>
        <w:t>⑤　ぼう芽性の強い広葉樹で構成される人工林</w:t>
      </w:r>
    </w:p>
    <w:p>
      <w:pPr>
        <w:pStyle w:val="0"/>
        <w:rPr>
          <w:rFonts w:hint="default" w:ascii="ＭＳ 明朝" w:hAnsi="ＭＳ 明朝"/>
          <w:color w:val="auto"/>
          <w:u w:val="none" w:color="auto"/>
        </w:rPr>
      </w:pPr>
    </w:p>
    <w:p>
      <w:pPr>
        <w:pStyle w:val="0"/>
        <w:rPr>
          <w:rFonts w:hint="default" w:ascii="ＭＳ 明朝" w:hAnsi="ＭＳ 明朝"/>
          <w:color w:val="auto"/>
        </w:rPr>
      </w:pPr>
      <w:r>
        <w:rPr>
          <w:rFonts w:hint="eastAsia" w:ascii="ＭＳ 明朝" w:hAnsi="ＭＳ 明朝"/>
          <w:color w:val="auto"/>
        </w:rPr>
        <w:t>４　森林法第１０条の９第４項の伐採中止又は造林の命令の基準</w:t>
      </w:r>
    </w:p>
    <w:p>
      <w:pPr>
        <w:pStyle w:val="0"/>
        <w:ind w:firstLine="210" w:firstLineChars="100"/>
        <w:rPr>
          <w:rFonts w:hint="default" w:ascii="ＭＳ 明朝" w:hAnsi="ＭＳ 明朝"/>
          <w:color w:val="auto"/>
        </w:rPr>
      </w:pPr>
      <w:r>
        <w:rPr>
          <w:rFonts w:hint="eastAsia" w:ascii="ＭＳ 明朝" w:hAnsi="ＭＳ 明朝"/>
          <w:color w:val="auto"/>
        </w:rPr>
        <w:t>（１）　更新に係る対象樹種</w:t>
      </w:r>
    </w:p>
    <w:p>
      <w:pPr>
        <w:pStyle w:val="0"/>
        <w:ind w:firstLine="420" w:firstLineChars="200"/>
        <w:rPr>
          <w:rFonts w:hint="default" w:ascii="ＭＳ 明朝" w:hAnsi="ＭＳ 明朝"/>
          <w:color w:val="auto"/>
        </w:rPr>
      </w:pPr>
      <w:r>
        <w:rPr>
          <w:rFonts w:hint="eastAsia" w:ascii="ＭＳ 明朝" w:hAnsi="ＭＳ 明朝"/>
          <w:color w:val="auto"/>
        </w:rPr>
        <w:t>ア　人工造林の場合</w:t>
      </w:r>
    </w:p>
    <w:p>
      <w:pPr>
        <w:pStyle w:val="0"/>
        <w:ind w:firstLine="840" w:firstLineChars="400"/>
        <w:rPr>
          <w:rFonts w:hint="default" w:ascii="ＭＳ 明朝" w:hAnsi="ＭＳ 明朝"/>
          <w:color w:val="auto"/>
        </w:rPr>
      </w:pPr>
      <w:r>
        <w:rPr>
          <w:rFonts w:hint="eastAsia" w:ascii="ＭＳ 明朝" w:hAnsi="ＭＳ 明朝"/>
          <w:color w:val="auto"/>
        </w:rPr>
        <w:t>第２の１（１）によることとします。</w:t>
      </w:r>
    </w:p>
    <w:p>
      <w:pPr>
        <w:pStyle w:val="0"/>
        <w:ind w:firstLine="420" w:firstLineChars="200"/>
        <w:rPr>
          <w:rFonts w:hint="default" w:ascii="ＭＳ 明朝" w:hAnsi="ＭＳ 明朝"/>
          <w:color w:val="auto"/>
        </w:rPr>
      </w:pPr>
      <w:r>
        <w:rPr>
          <w:rFonts w:hint="eastAsia" w:ascii="ＭＳ 明朝" w:hAnsi="ＭＳ 明朝"/>
          <w:color w:val="auto"/>
        </w:rPr>
        <w:t>イ　天然更新の場合</w:t>
      </w:r>
    </w:p>
    <w:p>
      <w:pPr>
        <w:pStyle w:val="0"/>
        <w:ind w:firstLine="840" w:firstLineChars="400"/>
        <w:rPr>
          <w:rFonts w:hint="default" w:ascii="ＭＳ 明朝" w:hAnsi="ＭＳ 明朝"/>
          <w:color w:val="auto"/>
        </w:rPr>
      </w:pPr>
      <w:r>
        <w:rPr>
          <w:rFonts w:hint="eastAsia" w:ascii="ＭＳ 明朝" w:hAnsi="ＭＳ 明朝"/>
          <w:color w:val="auto"/>
        </w:rPr>
        <w:t>第２の２（１）によることとします。</w:t>
      </w:r>
    </w:p>
    <w:p>
      <w:pPr>
        <w:pStyle w:val="0"/>
        <w:ind w:firstLine="210" w:firstLineChars="100"/>
        <w:rPr>
          <w:rFonts w:hint="default" w:ascii="ＭＳ 明朝" w:hAnsi="ＭＳ 明朝"/>
          <w:color w:val="auto"/>
        </w:rPr>
      </w:pPr>
      <w:r>
        <w:rPr>
          <w:rFonts w:hint="eastAsia" w:ascii="ＭＳ 明朝" w:hAnsi="ＭＳ 明朝"/>
          <w:color w:val="auto"/>
        </w:rPr>
        <w:t>（２）　生育し得る最大の立木の本数として想定される本数</w:t>
      </w:r>
    </w:p>
    <w:p>
      <w:pPr>
        <w:pStyle w:val="0"/>
        <w:ind w:left="840" w:leftChars="400" w:firstLine="210" w:firstLineChars="100"/>
        <w:rPr>
          <w:rFonts w:hint="default" w:ascii="ＭＳ 明朝" w:hAnsi="ＭＳ 明朝"/>
          <w:color w:val="auto"/>
        </w:rPr>
      </w:pPr>
      <w:r>
        <w:rPr>
          <w:rFonts w:hint="eastAsia" w:ascii="ＭＳ 明朝" w:hAnsi="ＭＳ 明朝"/>
          <w:color w:val="auto"/>
        </w:rPr>
        <w:t>第２の２（２）における「５年生の天然更新の対象樹種の期待成立本数」によることとします。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５　その他必要な事項</w:t>
      </w:r>
    </w:p>
    <w:p>
      <w:pPr>
        <w:pStyle w:val="0"/>
        <w:ind w:left="204" w:leftChars="97"/>
        <w:rPr>
          <w:rFonts w:hint="default" w:ascii="ＭＳ 明朝" w:hAnsi="ＭＳ 明朝"/>
          <w:color w:val="auto"/>
        </w:rPr>
      </w:pPr>
      <w:r>
        <w:rPr>
          <w:rFonts w:hint="eastAsia" w:ascii="ＭＳ 明朝" w:hAnsi="ＭＳ 明朝"/>
          <w:color w:val="auto"/>
        </w:rPr>
        <w:t>　伐採跡地等が放置されないようにするため、森林組合等と連携して森林経営に意欲的な者に伐採跡地等の取得を促すなど、林地流動化の取組を通じて、伐採跡地等への植林を推進します。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第３　間伐を実施すべき標準的な林齢、間伐及び保育の標準的な方法その他間伐及び保育の基準</w:t>
      </w:r>
    </w:p>
    <w:p>
      <w:pPr>
        <w:pStyle w:val="0"/>
        <w:rPr>
          <w:rFonts w:hint="default" w:ascii="ＭＳ 明朝" w:hAnsi="ＭＳ 明朝"/>
          <w:color w:val="auto"/>
        </w:rPr>
      </w:pPr>
      <w:r>
        <w:rPr>
          <w:rFonts w:hint="eastAsia" w:ascii="ＭＳ 明朝" w:hAnsi="ＭＳ 明朝"/>
          <w:color w:val="auto"/>
        </w:rPr>
        <w:t>１　間伐を実施すべき標準的な林齢及び間伐の標準的な方法</w:t>
      </w:r>
    </w:p>
    <w:p>
      <w:pPr>
        <w:pStyle w:val="0"/>
        <w:ind w:left="210" w:hanging="210" w:hangingChars="100"/>
        <w:rPr>
          <w:rFonts w:hint="default" w:ascii="ＭＳ 明朝" w:hAnsi="ＭＳ 明朝"/>
          <w:color w:val="auto"/>
        </w:rPr>
      </w:pPr>
      <w:r>
        <w:rPr>
          <w:rFonts w:hint="eastAsia" w:ascii="ＭＳ 明朝" w:hAnsi="ＭＳ 明朝"/>
          <w:color w:val="auto"/>
        </w:rPr>
        <w:t>　　間伐は、林冠がうっ閉し、林木間の競争が生じ始めた森林において、主に目的樹種の一部を伐採するもので、伐採後一定の期間内に林冠がうっ閉するよう適切な伐採率により繰り返し行うこととします。</w:t>
      </w:r>
    </w:p>
    <w:p>
      <w:pPr>
        <w:pStyle w:val="0"/>
        <w:ind w:left="210" w:firstLine="210" w:firstLineChars="100"/>
        <w:rPr>
          <w:rFonts w:hint="default" w:ascii="ＭＳ 明朝" w:hAnsi="ＭＳ 明朝"/>
          <w:color w:val="auto"/>
        </w:rPr>
      </w:pPr>
      <w:r>
        <w:rPr>
          <w:rFonts w:hint="eastAsia" w:ascii="ＭＳ 明朝" w:hAnsi="ＭＳ 明朝"/>
          <w:color w:val="auto"/>
        </w:rPr>
        <w:t>また、森林資源の質的向上を図るとともに、適度な下層植生を有する適正な林分構造が維持され、根の発達が促されるよう、適切な伐採率により繰り返し行うこととします。特に高齢級の森林における間伐にあたっては、立木の成長力に留意することとします。</w:t>
      </w:r>
    </w:p>
    <w:p>
      <w:pPr>
        <w:pStyle w:val="0"/>
        <w:ind w:left="210" w:firstLine="210" w:firstLineChars="100"/>
        <w:rPr>
          <w:rFonts w:hint="default" w:ascii="ＭＳ 明朝" w:hAnsi="ＭＳ 明朝"/>
          <w:color w:val="auto"/>
        </w:rPr>
      </w:pPr>
      <w:r>
        <w:rPr>
          <w:rFonts w:hint="eastAsia" w:ascii="ＭＳ 明朝" w:hAnsi="ＭＳ 明朝"/>
          <w:color w:val="auto"/>
        </w:rPr>
        <w:t>なお、主要樹種ごとの標準的な間伐の時期等の目安については、次表のとおりとします。</w:t>
      </w:r>
    </w:p>
    <w:p>
      <w:pPr>
        <w:pStyle w:val="0"/>
        <w:rPr>
          <w:rFonts w:hint="default" w:ascii="ＭＳ 明朝" w:hAnsi="ＭＳ 明朝"/>
          <w:color w:val="auto"/>
        </w:rPr>
      </w:pP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410"/>
        <w:gridCol w:w="708"/>
        <w:gridCol w:w="709"/>
        <w:gridCol w:w="709"/>
        <w:gridCol w:w="709"/>
        <w:gridCol w:w="708"/>
        <w:gridCol w:w="2268"/>
      </w:tblGrid>
      <w:tr>
        <w:trPr>
          <w:trHeight w:val="255" w:hRule="atLeast"/>
        </w:trPr>
        <w:tc>
          <w:tcPr>
            <w:tcW w:w="1418" w:type="dxa"/>
            <w:vMerge w:val="restart"/>
            <w:vAlign w:val="center"/>
          </w:tcPr>
          <w:p>
            <w:pPr>
              <w:pStyle w:val="0"/>
              <w:jc w:val="center"/>
              <w:rPr>
                <w:rFonts w:hint="default" w:ascii="ＭＳ 明朝" w:hAnsi="ＭＳ 明朝"/>
                <w:color w:val="auto"/>
                <w:sz w:val="20"/>
              </w:rPr>
            </w:pPr>
            <w:r>
              <w:rPr>
                <w:rFonts w:hint="eastAsia" w:ascii="ＭＳ 明朝" w:hAnsi="ＭＳ 明朝"/>
                <w:color w:val="auto"/>
                <w:sz w:val="20"/>
              </w:rPr>
              <w:t>樹種</w:t>
            </w:r>
          </w:p>
          <w:p>
            <w:pPr>
              <w:pStyle w:val="0"/>
              <w:jc w:val="center"/>
              <w:rPr>
                <w:rFonts w:hint="default" w:ascii="ＭＳ 明朝" w:hAnsi="ＭＳ 明朝"/>
                <w:color w:val="auto"/>
                <w:sz w:val="20"/>
              </w:rPr>
            </w:pPr>
            <w:r>
              <w:rPr>
                <w:rFonts w:hint="eastAsia" w:ascii="ＭＳ 明朝" w:hAnsi="ＭＳ 明朝"/>
                <w:color w:val="auto"/>
                <w:sz w:val="20"/>
              </w:rPr>
              <w:t>（生産目標）</w:t>
            </w:r>
          </w:p>
        </w:tc>
        <w:tc>
          <w:tcPr>
            <w:tcW w:w="2410" w:type="dxa"/>
            <w:vMerge w:val="restart"/>
            <w:vAlign w:val="center"/>
          </w:tcPr>
          <w:p>
            <w:pPr>
              <w:pStyle w:val="0"/>
              <w:jc w:val="center"/>
              <w:rPr>
                <w:rFonts w:hint="default" w:ascii="ＭＳ 明朝" w:hAnsi="ＭＳ 明朝"/>
                <w:color w:val="auto"/>
                <w:sz w:val="20"/>
              </w:rPr>
            </w:pPr>
            <w:r>
              <w:rPr>
                <w:rFonts w:hint="eastAsia" w:ascii="ＭＳ 明朝" w:hAnsi="ＭＳ 明朝"/>
                <w:color w:val="auto"/>
                <w:sz w:val="20"/>
              </w:rPr>
              <w:t>施業方法</w:t>
            </w:r>
          </w:p>
        </w:tc>
        <w:tc>
          <w:tcPr>
            <w:tcW w:w="3543" w:type="dxa"/>
            <w:gridSpan w:val="5"/>
            <w:vAlign w:val="center"/>
          </w:tcPr>
          <w:p>
            <w:pPr>
              <w:pStyle w:val="0"/>
              <w:jc w:val="center"/>
              <w:rPr>
                <w:rFonts w:hint="default" w:ascii="ＭＳ 明朝" w:hAnsi="ＭＳ 明朝"/>
                <w:color w:val="auto"/>
                <w:sz w:val="20"/>
              </w:rPr>
            </w:pPr>
            <w:r>
              <w:rPr>
                <w:rFonts w:hint="eastAsia" w:ascii="ＭＳ 明朝" w:hAnsi="ＭＳ 明朝"/>
                <w:color w:val="auto"/>
                <w:sz w:val="20"/>
              </w:rPr>
              <w:t>間伐の時期（林齢）</w:t>
            </w:r>
          </w:p>
        </w:tc>
        <w:tc>
          <w:tcPr>
            <w:tcW w:w="2268" w:type="dxa"/>
            <w:vMerge w:val="restart"/>
            <w:vAlign w:val="center"/>
          </w:tcPr>
          <w:p>
            <w:pPr>
              <w:pStyle w:val="0"/>
              <w:jc w:val="center"/>
              <w:rPr>
                <w:rFonts w:hint="default" w:ascii="ＭＳ 明朝" w:hAnsi="ＭＳ 明朝"/>
                <w:color w:val="auto"/>
                <w:sz w:val="20"/>
              </w:rPr>
            </w:pPr>
            <w:r>
              <w:rPr>
                <w:rFonts w:hint="eastAsia" w:ascii="ＭＳ 明朝" w:hAnsi="ＭＳ 明朝"/>
                <w:color w:val="auto"/>
                <w:sz w:val="20"/>
              </w:rPr>
              <w:t>間伐の方法</w:t>
            </w:r>
          </w:p>
        </w:tc>
      </w:tr>
      <w:tr>
        <w:trPr>
          <w:trHeight w:val="360" w:hRule="atLeast"/>
        </w:trPr>
        <w:tc>
          <w:tcPr>
            <w:tcW w:w="1418" w:type="dxa"/>
            <w:vMerge w:val="continue"/>
            <w:vAlign w:val="center"/>
          </w:tcPr>
          <w:p>
            <w:pPr>
              <w:pStyle w:val="0"/>
              <w:rPr>
                <w:rFonts w:hint="default"/>
              </w:rPr>
            </w:pPr>
          </w:p>
        </w:tc>
        <w:tc>
          <w:tcPr>
            <w:tcW w:w="2410" w:type="dxa"/>
            <w:vMerge w:val="continue"/>
            <w:vAlign w:val="top"/>
          </w:tcPr>
          <w:p>
            <w:pPr>
              <w:pStyle w:val="0"/>
              <w:rPr>
                <w:rFonts w:hint="default"/>
              </w:rPr>
            </w:pPr>
          </w:p>
        </w:tc>
        <w:tc>
          <w:tcPr>
            <w:tcW w:w="708" w:type="dxa"/>
            <w:vAlign w:val="center"/>
          </w:tcPr>
          <w:p>
            <w:pPr>
              <w:pStyle w:val="0"/>
              <w:jc w:val="center"/>
              <w:rPr>
                <w:rFonts w:hint="default" w:ascii="ＭＳ 明朝" w:hAnsi="ＭＳ 明朝"/>
                <w:color w:val="auto"/>
                <w:sz w:val="20"/>
              </w:rPr>
            </w:pPr>
            <w:r>
              <w:rPr>
                <w:rFonts w:hint="eastAsia" w:ascii="ＭＳ 明朝" w:hAnsi="ＭＳ 明朝"/>
                <w:color w:val="auto"/>
                <w:sz w:val="20"/>
              </w:rPr>
              <w:t>初回</w:t>
            </w:r>
          </w:p>
        </w:tc>
        <w:tc>
          <w:tcPr>
            <w:tcW w:w="709" w:type="dxa"/>
            <w:vAlign w:val="center"/>
          </w:tcPr>
          <w:p>
            <w:pPr>
              <w:pStyle w:val="0"/>
              <w:jc w:val="center"/>
              <w:rPr>
                <w:rFonts w:hint="default" w:ascii="ＭＳ 明朝" w:hAnsi="ＭＳ 明朝"/>
                <w:color w:val="auto"/>
                <w:sz w:val="20"/>
              </w:rPr>
            </w:pPr>
            <w:r>
              <w:rPr>
                <w:rFonts w:hint="eastAsia" w:ascii="ＭＳ 明朝" w:hAnsi="ＭＳ 明朝"/>
                <w:color w:val="auto"/>
                <w:sz w:val="20"/>
              </w:rPr>
              <w:t>２回</w:t>
            </w:r>
          </w:p>
        </w:tc>
        <w:tc>
          <w:tcPr>
            <w:tcW w:w="709" w:type="dxa"/>
            <w:vAlign w:val="center"/>
          </w:tcPr>
          <w:p>
            <w:pPr>
              <w:pStyle w:val="0"/>
              <w:jc w:val="center"/>
              <w:rPr>
                <w:rFonts w:hint="default" w:ascii="ＭＳ 明朝" w:hAnsi="ＭＳ 明朝"/>
                <w:color w:val="auto"/>
                <w:sz w:val="20"/>
              </w:rPr>
            </w:pPr>
            <w:r>
              <w:rPr>
                <w:rFonts w:hint="eastAsia" w:ascii="ＭＳ 明朝" w:hAnsi="ＭＳ 明朝"/>
                <w:color w:val="auto"/>
                <w:sz w:val="20"/>
              </w:rPr>
              <w:t>３回</w:t>
            </w:r>
          </w:p>
        </w:tc>
        <w:tc>
          <w:tcPr>
            <w:tcW w:w="709" w:type="dxa"/>
            <w:vAlign w:val="center"/>
          </w:tcPr>
          <w:p>
            <w:pPr>
              <w:pStyle w:val="0"/>
              <w:jc w:val="center"/>
              <w:rPr>
                <w:rFonts w:hint="default" w:ascii="ＭＳ 明朝" w:hAnsi="ＭＳ 明朝"/>
                <w:color w:val="auto"/>
                <w:sz w:val="20"/>
              </w:rPr>
            </w:pPr>
            <w:r>
              <w:rPr>
                <w:rFonts w:hint="eastAsia" w:ascii="ＭＳ 明朝" w:hAnsi="ＭＳ 明朝"/>
                <w:color w:val="auto"/>
                <w:sz w:val="20"/>
              </w:rPr>
              <w:t>４回</w:t>
            </w:r>
          </w:p>
        </w:tc>
        <w:tc>
          <w:tcPr>
            <w:tcW w:w="708" w:type="dxa"/>
            <w:vAlign w:val="center"/>
          </w:tcPr>
          <w:p>
            <w:pPr>
              <w:pStyle w:val="0"/>
              <w:jc w:val="center"/>
              <w:rPr>
                <w:rFonts w:hint="default" w:ascii="ＭＳ 明朝" w:hAnsi="ＭＳ 明朝"/>
                <w:color w:val="auto"/>
                <w:sz w:val="20"/>
              </w:rPr>
            </w:pPr>
            <w:r>
              <w:rPr>
                <w:rFonts w:hint="eastAsia" w:ascii="ＭＳ 明朝" w:hAnsi="ＭＳ 明朝"/>
                <w:color w:val="auto"/>
                <w:sz w:val="20"/>
              </w:rPr>
              <w:t>５回</w:t>
            </w:r>
          </w:p>
        </w:tc>
        <w:tc>
          <w:tcPr>
            <w:tcW w:w="2268" w:type="dxa"/>
            <w:vMerge w:val="continue"/>
            <w:vAlign w:val="top"/>
          </w:tcPr>
          <w:p>
            <w:pPr>
              <w:pStyle w:val="0"/>
              <w:rPr>
                <w:rFonts w:hint="default"/>
              </w:rPr>
            </w:pPr>
          </w:p>
        </w:tc>
      </w:tr>
      <w:tr>
        <w:trPr>
          <w:trHeight w:val="1746" w:hRule="atLeast"/>
        </w:trPr>
        <w:tc>
          <w:tcPr>
            <w:tcW w:w="1418" w:type="dxa"/>
            <w:vAlign w:val="center"/>
          </w:tcPr>
          <w:p>
            <w:pPr>
              <w:pStyle w:val="0"/>
              <w:jc w:val="center"/>
              <w:rPr>
                <w:rFonts w:hint="default" w:ascii="ＭＳ 明朝" w:hAnsi="ＭＳ 明朝"/>
                <w:color w:val="auto"/>
                <w:sz w:val="18"/>
              </w:rPr>
            </w:pPr>
            <w:r>
              <w:rPr>
                <w:rFonts w:hint="eastAsia" w:ascii="ＭＳ 明朝" w:hAnsi="ＭＳ 明朝"/>
                <w:color w:val="auto"/>
                <w:sz w:val="18"/>
              </w:rPr>
              <w:t>カラマツ</w:t>
            </w:r>
          </w:p>
          <w:p>
            <w:pPr>
              <w:pStyle w:val="0"/>
              <w:jc w:val="center"/>
              <w:rPr>
                <w:rFonts w:hint="default" w:ascii="ＭＳ 明朝" w:hAnsi="ＭＳ 明朝"/>
                <w:color w:val="auto"/>
                <w:sz w:val="18"/>
              </w:rPr>
            </w:pPr>
            <w:r>
              <w:rPr>
                <w:rFonts w:hint="eastAsia" w:ascii="ＭＳ 明朝" w:hAnsi="ＭＳ 明朝"/>
                <w:color w:val="auto"/>
                <w:sz w:val="18"/>
              </w:rPr>
              <w:t>（一般材）</w:t>
            </w:r>
          </w:p>
          <w:p>
            <w:pPr>
              <w:pStyle w:val="0"/>
              <w:jc w:val="center"/>
              <w:rPr>
                <w:rFonts w:hint="default" w:ascii="ＭＳ 明朝" w:hAnsi="ＭＳ 明朝"/>
                <w:color w:val="auto"/>
                <w:sz w:val="18"/>
              </w:rPr>
            </w:pPr>
            <w:r>
              <w:rPr>
                <w:rFonts w:hint="eastAsia" w:ascii="ＭＳ 明朝" w:hAnsi="ＭＳ 明朝"/>
                <w:color w:val="auto"/>
                <w:sz w:val="18"/>
              </w:rPr>
              <w:t>【グイマツとの交配種を含む】</w:t>
            </w:r>
          </w:p>
        </w:tc>
        <w:tc>
          <w:tcPr>
            <w:tcW w:w="2410" w:type="dxa"/>
            <w:vAlign w:val="center"/>
          </w:tcPr>
          <w:p>
            <w:pPr>
              <w:pStyle w:val="0"/>
              <w:widowControl w:val="1"/>
              <w:rPr>
                <w:rFonts w:hint="default" w:ascii="ＭＳ 明朝" w:hAnsi="ＭＳ 明朝"/>
                <w:color w:val="auto"/>
                <w:sz w:val="18"/>
              </w:rPr>
            </w:pPr>
            <w:r>
              <w:rPr>
                <w:rFonts w:hint="eastAsia" w:ascii="ＭＳ 明朝" w:hAnsi="ＭＳ 明朝"/>
                <w:color w:val="auto"/>
                <w:sz w:val="18"/>
              </w:rPr>
              <w:t>植栽本数：</w:t>
            </w:r>
            <w:r>
              <w:rPr>
                <w:rFonts w:hint="eastAsia" w:ascii="ＭＳ 明朝" w:hAnsi="ＭＳ 明朝"/>
                <w:color w:val="auto"/>
                <w:sz w:val="18"/>
              </w:rPr>
              <w:t>2,000</w:t>
            </w:r>
            <w:r>
              <w:rPr>
                <w:rFonts w:hint="eastAsia" w:ascii="ＭＳ 明朝" w:hAnsi="ＭＳ 明朝"/>
                <w:color w:val="auto"/>
                <w:sz w:val="18"/>
              </w:rPr>
              <w:t>本／</w:t>
            </w:r>
            <w:r>
              <w:rPr>
                <w:rFonts w:hint="eastAsia" w:ascii="ＭＳ 明朝" w:hAnsi="ＭＳ 明朝"/>
                <w:color w:val="auto"/>
                <w:sz w:val="18"/>
              </w:rPr>
              <w:t>ha</w:t>
            </w:r>
          </w:p>
          <w:p>
            <w:pPr>
              <w:pStyle w:val="0"/>
              <w:widowControl w:val="1"/>
              <w:rPr>
                <w:rFonts w:hint="default" w:ascii="ＭＳ 明朝" w:hAnsi="ＭＳ 明朝"/>
                <w:color w:val="auto"/>
                <w:sz w:val="18"/>
              </w:rPr>
            </w:pPr>
            <w:r>
              <w:rPr>
                <w:rFonts w:hint="eastAsia" w:ascii="ＭＳ 明朝" w:hAnsi="ＭＳ 明朝"/>
                <w:color w:val="auto"/>
                <w:sz w:val="18"/>
              </w:rPr>
              <w:t>仕立て方法：中庸仕立て</w:t>
            </w:r>
          </w:p>
          <w:p>
            <w:pPr>
              <w:pStyle w:val="0"/>
              <w:rPr>
                <w:rFonts w:hint="default" w:ascii="ＭＳ 明朝" w:hAnsi="ＭＳ 明朝"/>
                <w:color w:val="auto"/>
                <w:sz w:val="18"/>
              </w:rPr>
            </w:pPr>
            <w:r>
              <w:rPr>
                <w:rFonts w:hint="eastAsia" w:ascii="ＭＳ 明朝" w:hAnsi="ＭＳ 明朝"/>
                <w:color w:val="auto"/>
                <w:sz w:val="18"/>
              </w:rPr>
              <w:t>主伐時の設定：</w:t>
            </w:r>
            <w:r>
              <w:rPr>
                <w:rFonts w:hint="eastAsia" w:ascii="ＭＳ 明朝" w:hAnsi="ＭＳ 明朝"/>
                <w:color w:val="auto"/>
                <w:sz w:val="18"/>
              </w:rPr>
              <w:t>350</w:t>
            </w:r>
            <w:r>
              <w:rPr>
                <w:rFonts w:hint="eastAsia" w:ascii="ＭＳ 明朝" w:hAnsi="ＭＳ 明朝"/>
                <w:color w:val="auto"/>
                <w:sz w:val="18"/>
              </w:rPr>
              <w:t>本／</w:t>
            </w:r>
            <w:r>
              <w:rPr>
                <w:rFonts w:hint="eastAsia" w:ascii="ＭＳ 明朝" w:hAnsi="ＭＳ 明朝"/>
                <w:color w:val="auto"/>
                <w:sz w:val="18"/>
              </w:rPr>
              <w:t>ha</w:t>
            </w:r>
          </w:p>
        </w:tc>
        <w:tc>
          <w:tcPr>
            <w:tcW w:w="708"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１６</w:t>
            </w:r>
          </w:p>
        </w:tc>
        <w:tc>
          <w:tcPr>
            <w:tcW w:w="709"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２３</w:t>
            </w:r>
          </w:p>
        </w:tc>
        <w:tc>
          <w:tcPr>
            <w:tcW w:w="709"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３１</w:t>
            </w:r>
          </w:p>
        </w:tc>
        <w:tc>
          <w:tcPr>
            <w:tcW w:w="709"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３９</w:t>
            </w:r>
          </w:p>
        </w:tc>
        <w:tc>
          <w:tcPr>
            <w:tcW w:w="708"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p>
        </w:tc>
        <w:tc>
          <w:tcPr>
            <w:tcW w:w="2268" w:type="dxa"/>
            <w:vAlign w:val="top"/>
          </w:tcPr>
          <w:p>
            <w:pPr>
              <w:pStyle w:val="0"/>
              <w:widowControl w:val="1"/>
              <w:jc w:val="left"/>
              <w:rPr>
                <w:rFonts w:hint="default" w:ascii="ＭＳ 明朝" w:hAnsi="ＭＳ 明朝"/>
                <w:color w:val="000000" w:themeColor="text1"/>
                <w:sz w:val="16"/>
                <w:u w:val="none" w:color="auto"/>
              </w:rPr>
            </w:pPr>
            <w:r>
              <w:rPr>
                <w:rFonts w:hint="eastAsia" w:ascii="ＭＳ 明朝" w:hAnsi="ＭＳ 明朝"/>
                <w:color w:val="000000" w:themeColor="text1"/>
                <w:sz w:val="16"/>
                <w:u w:val="none" w:color="auto"/>
              </w:rPr>
              <w:t>・選木方法：定性及び列状</w:t>
            </w:r>
          </w:p>
          <w:p>
            <w:pPr>
              <w:pStyle w:val="0"/>
              <w:rPr>
                <w:rFonts w:hint="default" w:ascii="ＭＳ 明朝" w:hAnsi="ＭＳ 明朝"/>
                <w:color w:val="000000" w:themeColor="text1"/>
                <w:sz w:val="16"/>
                <w:u w:val="none" w:color="auto"/>
              </w:rPr>
            </w:pPr>
            <w:r>
              <w:rPr>
                <w:rFonts w:hint="eastAsia" w:ascii="ＭＳ 明朝" w:hAnsi="ＭＳ 明朝"/>
                <w:color w:val="000000" w:themeColor="text1"/>
                <w:sz w:val="16"/>
                <w:u w:val="none" w:color="auto"/>
              </w:rPr>
              <w:t>・間伐率（材積率）：</w:t>
            </w:r>
            <w:r>
              <w:rPr>
                <w:rFonts w:hint="eastAsia" w:ascii="ＭＳ 明朝" w:hAnsi="ＭＳ 明朝"/>
                <w:color w:val="000000" w:themeColor="text1"/>
                <w:sz w:val="16"/>
                <w:u w:val="none" w:color="auto"/>
              </w:rPr>
              <w:t>20</w:t>
            </w:r>
            <w:r>
              <w:rPr>
                <w:rFonts w:hint="eastAsia" w:ascii="ＭＳ 明朝" w:hAnsi="ＭＳ 明朝"/>
                <w:color w:val="000000" w:themeColor="text1"/>
                <w:sz w:val="16"/>
                <w:u w:val="none" w:color="auto"/>
              </w:rPr>
              <w:t>～</w:t>
            </w:r>
            <w:r>
              <w:rPr>
                <w:rFonts w:hint="eastAsia" w:ascii="ＭＳ 明朝" w:hAnsi="ＭＳ 明朝"/>
                <w:color w:val="000000" w:themeColor="text1"/>
                <w:sz w:val="16"/>
                <w:u w:val="none" w:color="auto"/>
              </w:rPr>
              <w:t>35%</w:t>
            </w:r>
          </w:p>
          <w:p>
            <w:pPr>
              <w:pStyle w:val="0"/>
              <w:ind w:left="160" w:hanging="160" w:hangingChars="100"/>
              <w:rPr>
                <w:rFonts w:hint="default" w:ascii="ＭＳ 明朝" w:hAnsi="ＭＳ 明朝"/>
                <w:color w:val="000000" w:themeColor="text1"/>
                <w:sz w:val="16"/>
                <w:u w:val="none" w:color="auto"/>
              </w:rPr>
            </w:pPr>
            <w:r>
              <w:rPr>
                <w:rFonts w:hint="eastAsia" w:ascii="ＭＳ 明朝" w:hAnsi="ＭＳ 明朝"/>
                <w:color w:val="000000" w:themeColor="text1"/>
                <w:sz w:val="16"/>
                <w:u w:val="none" w:color="auto"/>
              </w:rPr>
              <w:t>・標準伐期齢未満：</w:t>
            </w:r>
            <w:r>
              <w:rPr>
                <w:rFonts w:hint="eastAsia" w:ascii="ＭＳ 明朝" w:hAnsi="ＭＳ 明朝"/>
                <w:color w:val="000000" w:themeColor="text1"/>
                <w:sz w:val="16"/>
                <w:u w:val="none" w:color="auto"/>
              </w:rPr>
              <w:t>7</w:t>
            </w:r>
            <w:r>
              <w:rPr>
                <w:rFonts w:hint="eastAsia" w:ascii="ＭＳ 明朝" w:hAnsi="ＭＳ 明朝"/>
                <w:color w:val="000000" w:themeColor="text1"/>
                <w:sz w:val="16"/>
                <w:u w:val="none" w:color="auto"/>
              </w:rPr>
              <w:t>年</w:t>
            </w:r>
          </w:p>
          <w:p>
            <w:pPr>
              <w:pStyle w:val="0"/>
              <w:ind w:left="160" w:hanging="160" w:hangingChars="100"/>
              <w:rPr>
                <w:rFonts w:hint="default" w:ascii="ＭＳ 明朝" w:hAnsi="ＭＳ 明朝"/>
                <w:color w:val="000000" w:themeColor="text1"/>
                <w:sz w:val="16"/>
                <w:u w:val="none" w:color="auto"/>
              </w:rPr>
            </w:pPr>
            <w:r>
              <w:rPr>
                <w:rFonts w:hint="eastAsia" w:ascii="ＭＳ 明朝" w:hAnsi="ＭＳ 明朝"/>
                <w:color w:val="000000" w:themeColor="text1"/>
                <w:sz w:val="16"/>
                <w:u w:val="none" w:color="auto"/>
              </w:rPr>
              <w:t>・標準伐期齢以上：</w:t>
            </w:r>
            <w:r>
              <w:rPr>
                <w:rFonts w:hint="eastAsia" w:ascii="ＭＳ 明朝" w:hAnsi="ＭＳ 明朝"/>
                <w:color w:val="000000" w:themeColor="text1"/>
                <w:sz w:val="16"/>
                <w:u w:val="none" w:color="auto"/>
              </w:rPr>
              <w:t>8</w:t>
            </w:r>
            <w:r>
              <w:rPr>
                <w:rFonts w:hint="eastAsia" w:ascii="ＭＳ 明朝" w:hAnsi="ＭＳ 明朝"/>
                <w:color w:val="000000" w:themeColor="text1"/>
                <w:sz w:val="16"/>
                <w:u w:val="none" w:color="auto"/>
              </w:rPr>
              <w:t>年</w:t>
            </w:r>
          </w:p>
        </w:tc>
      </w:tr>
      <w:tr>
        <w:trPr>
          <w:trHeight w:val="1407" w:hRule="atLeast"/>
        </w:trPr>
        <w:tc>
          <w:tcPr>
            <w:tcW w:w="1418" w:type="dxa"/>
            <w:vAlign w:val="center"/>
          </w:tcPr>
          <w:p>
            <w:pPr>
              <w:pStyle w:val="0"/>
              <w:jc w:val="center"/>
              <w:rPr>
                <w:rFonts w:hint="default" w:ascii="ＭＳ 明朝" w:hAnsi="ＭＳ 明朝"/>
                <w:color w:val="auto"/>
                <w:sz w:val="18"/>
              </w:rPr>
            </w:pPr>
            <w:r>
              <w:rPr>
                <w:rFonts w:hint="eastAsia" w:ascii="ＭＳ 明朝" w:hAnsi="ＭＳ 明朝"/>
                <w:color w:val="auto"/>
                <w:sz w:val="18"/>
              </w:rPr>
              <w:t>トドマツ</w:t>
            </w:r>
          </w:p>
          <w:p>
            <w:pPr>
              <w:pStyle w:val="0"/>
              <w:jc w:val="center"/>
              <w:rPr>
                <w:rFonts w:hint="default" w:ascii="ＭＳ 明朝" w:hAnsi="ＭＳ 明朝"/>
                <w:color w:val="auto"/>
                <w:sz w:val="18"/>
              </w:rPr>
            </w:pPr>
            <w:r>
              <w:rPr>
                <w:rFonts w:hint="eastAsia" w:ascii="ＭＳ 明朝" w:hAnsi="ＭＳ 明朝"/>
                <w:color w:val="auto"/>
                <w:sz w:val="18"/>
              </w:rPr>
              <w:t>（一般材）</w:t>
            </w:r>
          </w:p>
        </w:tc>
        <w:tc>
          <w:tcPr>
            <w:tcW w:w="2410" w:type="dxa"/>
            <w:vAlign w:val="center"/>
          </w:tcPr>
          <w:p>
            <w:pPr>
              <w:pStyle w:val="0"/>
              <w:widowControl w:val="1"/>
              <w:rPr>
                <w:rFonts w:hint="default" w:ascii="ＭＳ 明朝" w:hAnsi="ＭＳ 明朝"/>
                <w:color w:val="auto"/>
                <w:sz w:val="18"/>
              </w:rPr>
            </w:pPr>
            <w:r>
              <w:rPr>
                <w:rFonts w:hint="eastAsia" w:ascii="ＭＳ 明朝" w:hAnsi="ＭＳ 明朝"/>
                <w:color w:val="auto"/>
                <w:sz w:val="18"/>
              </w:rPr>
              <w:t>植栽本数：</w:t>
            </w:r>
            <w:r>
              <w:rPr>
                <w:rFonts w:hint="eastAsia" w:ascii="ＭＳ 明朝" w:hAnsi="ＭＳ 明朝"/>
                <w:color w:val="auto"/>
                <w:sz w:val="18"/>
              </w:rPr>
              <w:t>2,000</w:t>
            </w:r>
            <w:r>
              <w:rPr>
                <w:rFonts w:hint="eastAsia" w:ascii="ＭＳ 明朝" w:hAnsi="ＭＳ 明朝"/>
                <w:color w:val="auto"/>
                <w:sz w:val="18"/>
              </w:rPr>
              <w:t>本／</w:t>
            </w:r>
            <w:r>
              <w:rPr>
                <w:rFonts w:hint="eastAsia" w:ascii="ＭＳ 明朝" w:hAnsi="ＭＳ 明朝"/>
                <w:color w:val="auto"/>
                <w:sz w:val="18"/>
              </w:rPr>
              <w:t>ha</w:t>
            </w:r>
          </w:p>
          <w:p>
            <w:pPr>
              <w:pStyle w:val="0"/>
              <w:widowControl w:val="1"/>
              <w:rPr>
                <w:rFonts w:hint="default" w:ascii="ＭＳ 明朝" w:hAnsi="ＭＳ 明朝"/>
                <w:color w:val="auto"/>
                <w:sz w:val="18"/>
              </w:rPr>
            </w:pPr>
            <w:r>
              <w:rPr>
                <w:rFonts w:hint="eastAsia" w:ascii="ＭＳ 明朝" w:hAnsi="ＭＳ 明朝"/>
                <w:color w:val="auto"/>
                <w:sz w:val="18"/>
              </w:rPr>
              <w:t>仕立て方法：中庸仕立て</w:t>
            </w:r>
          </w:p>
          <w:p>
            <w:pPr>
              <w:pStyle w:val="0"/>
              <w:rPr>
                <w:rFonts w:hint="default" w:ascii="ＭＳ 明朝" w:hAnsi="ＭＳ 明朝"/>
                <w:color w:val="auto"/>
                <w:sz w:val="18"/>
              </w:rPr>
            </w:pPr>
            <w:r>
              <w:rPr>
                <w:rFonts w:hint="eastAsia" w:ascii="ＭＳ 明朝" w:hAnsi="ＭＳ 明朝"/>
                <w:color w:val="auto"/>
                <w:sz w:val="18"/>
              </w:rPr>
              <w:t>主伐時の設定：</w:t>
            </w:r>
            <w:r>
              <w:rPr>
                <w:rFonts w:hint="eastAsia" w:ascii="ＭＳ 明朝" w:hAnsi="ＭＳ 明朝"/>
                <w:color w:val="auto"/>
                <w:sz w:val="18"/>
              </w:rPr>
              <w:t>400</w:t>
            </w:r>
            <w:r>
              <w:rPr>
                <w:rFonts w:hint="eastAsia" w:ascii="ＭＳ 明朝" w:hAnsi="ＭＳ 明朝"/>
                <w:color w:val="auto"/>
                <w:sz w:val="18"/>
              </w:rPr>
              <w:t>本／</w:t>
            </w:r>
            <w:r>
              <w:rPr>
                <w:rFonts w:hint="eastAsia" w:ascii="ＭＳ 明朝" w:hAnsi="ＭＳ 明朝"/>
                <w:color w:val="auto"/>
                <w:sz w:val="18"/>
              </w:rPr>
              <w:t>ha</w:t>
            </w:r>
          </w:p>
        </w:tc>
        <w:tc>
          <w:tcPr>
            <w:tcW w:w="708"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１５</w:t>
            </w:r>
          </w:p>
        </w:tc>
        <w:tc>
          <w:tcPr>
            <w:tcW w:w="709"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２２</w:t>
            </w:r>
          </w:p>
        </w:tc>
        <w:tc>
          <w:tcPr>
            <w:tcW w:w="709"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２９</w:t>
            </w:r>
          </w:p>
        </w:tc>
        <w:tc>
          <w:tcPr>
            <w:tcW w:w="709"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３６</w:t>
            </w:r>
          </w:p>
        </w:tc>
        <w:tc>
          <w:tcPr>
            <w:tcW w:w="708" w:type="dxa"/>
            <w:vAlign w:val="center"/>
          </w:tcPr>
          <w:p>
            <w:pPr>
              <w:pStyle w:val="0"/>
              <w:widowControl w:val="1"/>
              <w:jc w:val="center"/>
              <w:rPr>
                <w:rFonts w:hint="default" w:ascii="ＭＳ 明朝" w:hAnsi="ＭＳ 明朝"/>
                <w:color w:val="auto"/>
              </w:rPr>
            </w:pPr>
          </w:p>
          <w:p>
            <w:pPr>
              <w:pStyle w:val="0"/>
              <w:widowControl w:val="1"/>
              <w:jc w:val="center"/>
              <w:rPr>
                <w:rFonts w:hint="default" w:ascii="ＭＳ 明朝" w:hAnsi="ＭＳ 明朝"/>
                <w:color w:val="auto"/>
              </w:rPr>
            </w:pPr>
          </w:p>
          <w:p>
            <w:pPr>
              <w:pStyle w:val="0"/>
              <w:jc w:val="center"/>
              <w:rPr>
                <w:rFonts w:hint="default" w:ascii="ＭＳ 明朝" w:hAnsi="ＭＳ 明朝"/>
                <w:color w:val="auto"/>
              </w:rPr>
            </w:pPr>
          </w:p>
        </w:tc>
        <w:tc>
          <w:tcPr>
            <w:tcW w:w="2268" w:type="dxa"/>
            <w:vAlign w:val="top"/>
          </w:tcPr>
          <w:p>
            <w:pPr>
              <w:pStyle w:val="0"/>
              <w:widowControl w:val="1"/>
              <w:jc w:val="left"/>
              <w:rPr>
                <w:rFonts w:hint="default" w:ascii="ＭＳ 明朝" w:hAnsi="ＭＳ 明朝"/>
                <w:color w:val="auto"/>
                <w:sz w:val="16"/>
              </w:rPr>
            </w:pPr>
            <w:r>
              <w:rPr>
                <w:rFonts w:hint="eastAsia" w:ascii="ＭＳ 明朝" w:hAnsi="ＭＳ 明朝"/>
                <w:color w:val="auto"/>
                <w:sz w:val="16"/>
              </w:rPr>
              <w:t>・選木方法：定性及び列状</w:t>
            </w:r>
          </w:p>
          <w:p>
            <w:pPr>
              <w:pStyle w:val="0"/>
              <w:widowControl w:val="1"/>
              <w:jc w:val="left"/>
              <w:rPr>
                <w:rFonts w:hint="default" w:ascii="ＭＳ 明朝" w:hAnsi="ＭＳ 明朝"/>
                <w:color w:val="000000" w:themeColor="text1"/>
                <w:sz w:val="16"/>
                <w:u w:val="none" w:color="auto"/>
              </w:rPr>
            </w:pPr>
            <w:r>
              <w:rPr>
                <w:rFonts w:hint="eastAsia" w:ascii="ＭＳ 明朝" w:hAnsi="ＭＳ 明朝"/>
                <w:color w:val="auto"/>
                <w:sz w:val="16"/>
              </w:rPr>
              <w:t>・間伐率（材積率）：</w:t>
            </w:r>
            <w:r>
              <w:rPr>
                <w:rFonts w:hint="eastAsia" w:ascii="ＭＳ 明朝" w:hAnsi="ＭＳ 明朝"/>
                <w:color w:val="auto"/>
                <w:sz w:val="16"/>
              </w:rPr>
              <w:t>20</w:t>
            </w:r>
            <w:r>
              <w:rPr>
                <w:rFonts w:hint="eastAsia" w:ascii="ＭＳ 明朝" w:hAnsi="ＭＳ 明朝"/>
                <w:color w:val="auto"/>
                <w:sz w:val="16"/>
              </w:rPr>
              <w:t>～</w:t>
            </w:r>
            <w:r>
              <w:rPr>
                <w:rFonts w:hint="eastAsia" w:ascii="ＭＳ 明朝" w:hAnsi="ＭＳ 明朝"/>
                <w:color w:val="auto"/>
                <w:sz w:val="16"/>
              </w:rPr>
              <w:t>35</w:t>
            </w:r>
            <w:r>
              <w:rPr>
                <w:rFonts w:hint="eastAsia" w:ascii="ＭＳ 明朝" w:hAnsi="ＭＳ 明朝"/>
                <w:color w:val="000000" w:themeColor="text1"/>
                <w:sz w:val="16"/>
                <w:u w:val="none" w:color="auto"/>
              </w:rPr>
              <w:t>%</w:t>
            </w:r>
          </w:p>
          <w:p>
            <w:pPr>
              <w:pStyle w:val="0"/>
              <w:rPr>
                <w:rFonts w:hint="default" w:ascii="ＭＳ 明朝" w:hAnsi="ＭＳ 明朝"/>
                <w:color w:val="000000" w:themeColor="text1"/>
                <w:sz w:val="16"/>
                <w:u w:val="none" w:color="auto"/>
              </w:rPr>
            </w:pPr>
            <w:r>
              <w:rPr>
                <w:rFonts w:hint="eastAsia" w:ascii="ＭＳ 明朝" w:hAnsi="ＭＳ 明朝"/>
                <w:color w:val="000000" w:themeColor="text1"/>
                <w:sz w:val="16"/>
                <w:u w:val="none" w:color="auto"/>
              </w:rPr>
              <w:t>・標準伐期齢未満：</w:t>
            </w:r>
            <w:r>
              <w:rPr>
                <w:rFonts w:hint="eastAsia" w:ascii="ＭＳ 明朝" w:hAnsi="ＭＳ 明朝"/>
                <w:color w:val="000000" w:themeColor="text1"/>
                <w:sz w:val="16"/>
                <w:u w:val="none" w:color="auto"/>
              </w:rPr>
              <w:t>7</w:t>
            </w:r>
            <w:r>
              <w:rPr>
                <w:rFonts w:hint="eastAsia" w:ascii="ＭＳ 明朝" w:hAnsi="ＭＳ 明朝"/>
                <w:color w:val="000000" w:themeColor="text1"/>
                <w:sz w:val="16"/>
                <w:u w:val="none" w:color="auto"/>
              </w:rPr>
              <w:t>年</w:t>
            </w:r>
          </w:p>
          <w:p>
            <w:pPr>
              <w:pStyle w:val="0"/>
              <w:rPr>
                <w:rFonts w:hint="default" w:ascii="ＭＳ 明朝" w:hAnsi="ＭＳ 明朝"/>
                <w:color w:val="000000" w:themeColor="text1"/>
                <w:sz w:val="16"/>
                <w:u w:val="none" w:color="auto"/>
              </w:rPr>
            </w:pPr>
          </w:p>
        </w:tc>
      </w:tr>
      <w:tr>
        <w:trPr>
          <w:trHeight w:val="1407" w:hRule="atLeast"/>
        </w:trPr>
        <w:tc>
          <w:tcPr>
            <w:tcW w:w="1418" w:type="dxa"/>
            <w:vAlign w:val="center"/>
          </w:tcPr>
          <w:p>
            <w:pPr>
              <w:pStyle w:val="0"/>
              <w:jc w:val="center"/>
              <w:rPr>
                <w:rFonts w:hint="default" w:ascii="ＭＳ 明朝" w:hAnsi="ＭＳ 明朝"/>
                <w:color w:val="auto"/>
                <w:sz w:val="18"/>
              </w:rPr>
            </w:pPr>
            <w:r>
              <w:rPr>
                <w:rFonts w:hint="eastAsia" w:ascii="ＭＳ 明朝" w:hAnsi="ＭＳ 明朝"/>
                <w:color w:val="auto"/>
                <w:sz w:val="18"/>
              </w:rPr>
              <w:t>アカエゾマツ</w:t>
            </w:r>
          </w:p>
          <w:p>
            <w:pPr>
              <w:pStyle w:val="0"/>
              <w:jc w:val="center"/>
              <w:rPr>
                <w:rFonts w:hint="default" w:ascii="ＭＳ 明朝" w:hAnsi="ＭＳ 明朝"/>
                <w:color w:val="auto"/>
                <w:sz w:val="18"/>
              </w:rPr>
            </w:pPr>
            <w:r>
              <w:rPr>
                <w:rFonts w:hint="eastAsia" w:ascii="ＭＳ 明朝" w:hAnsi="ＭＳ 明朝"/>
                <w:color w:val="auto"/>
                <w:sz w:val="18"/>
              </w:rPr>
              <w:t>（一般材）</w:t>
            </w:r>
          </w:p>
        </w:tc>
        <w:tc>
          <w:tcPr>
            <w:tcW w:w="2410" w:type="dxa"/>
            <w:vAlign w:val="center"/>
          </w:tcPr>
          <w:p>
            <w:pPr>
              <w:pStyle w:val="0"/>
              <w:widowControl w:val="1"/>
              <w:rPr>
                <w:rFonts w:hint="default" w:ascii="ＭＳ 明朝" w:hAnsi="ＭＳ 明朝"/>
                <w:color w:val="auto"/>
                <w:sz w:val="18"/>
              </w:rPr>
            </w:pPr>
            <w:r>
              <w:rPr>
                <w:rFonts w:hint="eastAsia" w:ascii="ＭＳ 明朝" w:hAnsi="ＭＳ 明朝"/>
                <w:color w:val="auto"/>
                <w:sz w:val="18"/>
              </w:rPr>
              <w:t>植栽本数：</w:t>
            </w:r>
            <w:r>
              <w:rPr>
                <w:rFonts w:hint="eastAsia" w:ascii="ＭＳ 明朝" w:hAnsi="ＭＳ 明朝"/>
                <w:color w:val="auto"/>
                <w:sz w:val="18"/>
              </w:rPr>
              <w:t>2,000</w:t>
            </w:r>
            <w:r>
              <w:rPr>
                <w:rFonts w:hint="eastAsia" w:ascii="ＭＳ 明朝" w:hAnsi="ＭＳ 明朝"/>
                <w:color w:val="auto"/>
                <w:sz w:val="18"/>
              </w:rPr>
              <w:t>本／</w:t>
            </w:r>
            <w:r>
              <w:rPr>
                <w:rFonts w:hint="eastAsia" w:ascii="ＭＳ 明朝" w:hAnsi="ＭＳ 明朝"/>
                <w:color w:val="auto"/>
                <w:sz w:val="18"/>
              </w:rPr>
              <w:t>ha</w:t>
            </w:r>
          </w:p>
          <w:p>
            <w:pPr>
              <w:pStyle w:val="0"/>
              <w:widowControl w:val="1"/>
              <w:rPr>
                <w:rFonts w:hint="default" w:ascii="ＭＳ 明朝" w:hAnsi="ＭＳ 明朝"/>
                <w:color w:val="auto"/>
                <w:sz w:val="18"/>
              </w:rPr>
            </w:pPr>
            <w:r>
              <w:rPr>
                <w:rFonts w:hint="eastAsia" w:ascii="ＭＳ 明朝" w:hAnsi="ＭＳ 明朝"/>
                <w:color w:val="auto"/>
                <w:sz w:val="18"/>
              </w:rPr>
              <w:t>仕立て方法：中庸仕立て</w:t>
            </w:r>
          </w:p>
          <w:p>
            <w:pPr>
              <w:pStyle w:val="0"/>
              <w:widowControl w:val="1"/>
              <w:rPr>
                <w:rFonts w:hint="default" w:ascii="ＭＳ 明朝" w:hAnsi="ＭＳ 明朝"/>
                <w:color w:val="auto"/>
                <w:sz w:val="18"/>
              </w:rPr>
            </w:pPr>
            <w:r>
              <w:rPr>
                <w:rFonts w:hint="eastAsia" w:ascii="ＭＳ 明朝" w:hAnsi="ＭＳ 明朝"/>
                <w:color w:val="auto"/>
                <w:sz w:val="18"/>
              </w:rPr>
              <w:t>主伐時の設定：</w:t>
            </w:r>
            <w:r>
              <w:rPr>
                <w:rFonts w:hint="eastAsia" w:ascii="ＭＳ 明朝" w:hAnsi="ＭＳ 明朝"/>
                <w:color w:val="auto"/>
                <w:sz w:val="18"/>
              </w:rPr>
              <w:t>400</w:t>
            </w:r>
            <w:r>
              <w:rPr>
                <w:rFonts w:hint="eastAsia" w:ascii="ＭＳ 明朝" w:hAnsi="ＭＳ 明朝"/>
                <w:color w:val="auto"/>
                <w:sz w:val="18"/>
              </w:rPr>
              <w:t>本／</w:t>
            </w:r>
            <w:r>
              <w:rPr>
                <w:rFonts w:hint="eastAsia" w:ascii="ＭＳ 明朝" w:hAnsi="ＭＳ 明朝"/>
                <w:color w:val="auto"/>
                <w:sz w:val="18"/>
              </w:rPr>
              <w:t>ha</w:t>
            </w:r>
          </w:p>
        </w:tc>
        <w:tc>
          <w:tcPr>
            <w:tcW w:w="708"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２０</w:t>
            </w:r>
          </w:p>
        </w:tc>
        <w:tc>
          <w:tcPr>
            <w:tcW w:w="709"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３０</w:t>
            </w:r>
          </w:p>
        </w:tc>
        <w:tc>
          <w:tcPr>
            <w:tcW w:w="709"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４０</w:t>
            </w:r>
          </w:p>
        </w:tc>
        <w:tc>
          <w:tcPr>
            <w:tcW w:w="709" w:type="dxa"/>
            <w:vAlign w:val="center"/>
          </w:tcPr>
          <w:p>
            <w:pPr>
              <w:pStyle w:val="15"/>
              <w:spacing w:before="57" w:beforeLines="0" w:beforeAutospacing="0" w:line="167" w:lineRule="exact"/>
              <w:jc w:val="center"/>
              <w:rPr>
                <w:rFonts w:hint="default" w:ascii="ＭＳ 明朝" w:hAnsi="ＭＳ 明朝" w:eastAsia="ＭＳ 明朝"/>
                <w:color w:val="auto"/>
                <w:spacing w:val="0"/>
                <w:sz w:val="18"/>
              </w:rPr>
            </w:pPr>
            <w:r>
              <w:rPr>
                <w:rFonts w:hint="eastAsia" w:ascii="ＭＳ 明朝" w:hAnsi="ＭＳ 明朝" w:eastAsia="ＭＳ 明朝"/>
                <w:color w:val="auto"/>
                <w:spacing w:val="0"/>
                <w:sz w:val="18"/>
              </w:rPr>
              <w:t>５０</w:t>
            </w:r>
          </w:p>
        </w:tc>
        <w:tc>
          <w:tcPr>
            <w:tcW w:w="708" w:type="dxa"/>
            <w:vAlign w:val="center"/>
          </w:tcPr>
          <w:p>
            <w:pPr>
              <w:pStyle w:val="0"/>
              <w:widowControl w:val="1"/>
              <w:jc w:val="center"/>
              <w:rPr>
                <w:rFonts w:hint="default" w:ascii="ＭＳ 明朝" w:hAnsi="ＭＳ 明朝"/>
                <w:color w:val="auto"/>
              </w:rPr>
            </w:pPr>
            <w:r>
              <w:rPr>
                <w:rFonts w:hint="eastAsia" w:ascii="ＭＳ 明朝" w:hAnsi="ＭＳ 明朝"/>
                <w:color w:val="auto"/>
                <w:sz w:val="18"/>
              </w:rPr>
              <w:t>６０</w:t>
            </w:r>
          </w:p>
        </w:tc>
        <w:tc>
          <w:tcPr>
            <w:tcW w:w="2268" w:type="dxa"/>
            <w:vAlign w:val="top"/>
          </w:tcPr>
          <w:p>
            <w:pPr>
              <w:pStyle w:val="0"/>
              <w:widowControl w:val="1"/>
              <w:jc w:val="left"/>
              <w:rPr>
                <w:rFonts w:hint="default" w:ascii="ＭＳ 明朝" w:hAnsi="ＭＳ 明朝"/>
                <w:color w:val="auto"/>
                <w:sz w:val="16"/>
              </w:rPr>
            </w:pPr>
            <w:r>
              <w:rPr>
                <w:rFonts w:hint="eastAsia" w:ascii="ＭＳ 明朝" w:hAnsi="ＭＳ 明朝"/>
                <w:color w:val="auto"/>
                <w:sz w:val="16"/>
              </w:rPr>
              <w:t>・選木方法：定性及び列状</w:t>
            </w:r>
          </w:p>
          <w:p>
            <w:pPr>
              <w:pStyle w:val="0"/>
              <w:widowControl w:val="1"/>
              <w:jc w:val="left"/>
              <w:rPr>
                <w:rFonts w:hint="default" w:ascii="ＭＳ 明朝" w:hAnsi="ＭＳ 明朝"/>
                <w:color w:val="auto"/>
                <w:sz w:val="16"/>
              </w:rPr>
            </w:pPr>
            <w:r>
              <w:rPr>
                <w:rFonts w:hint="eastAsia" w:ascii="ＭＳ 明朝" w:hAnsi="ＭＳ 明朝"/>
                <w:color w:val="auto"/>
                <w:sz w:val="16"/>
              </w:rPr>
              <w:t>・間伐率（材積率）</w:t>
            </w:r>
            <w:r>
              <w:rPr>
                <w:rFonts w:hint="eastAsia" w:ascii="ＭＳ 明朝" w:hAnsi="ＭＳ 明朝"/>
                <w:color w:val="auto"/>
                <w:sz w:val="16"/>
              </w:rPr>
              <w:t>20</w:t>
            </w:r>
            <w:r>
              <w:rPr>
                <w:rFonts w:hint="eastAsia" w:ascii="ＭＳ 明朝" w:hAnsi="ＭＳ 明朝"/>
                <w:color w:val="auto"/>
                <w:sz w:val="16"/>
              </w:rPr>
              <w:t>～</w:t>
            </w:r>
            <w:r>
              <w:rPr>
                <w:rFonts w:hint="eastAsia" w:ascii="ＭＳ 明朝" w:hAnsi="ＭＳ 明朝"/>
                <w:color w:val="auto"/>
                <w:sz w:val="16"/>
              </w:rPr>
              <w:t>35</w:t>
            </w:r>
            <w:r>
              <w:rPr>
                <w:rFonts w:hint="eastAsia" w:ascii="ＭＳ 明朝" w:hAnsi="ＭＳ 明朝"/>
                <w:color w:val="auto"/>
                <w:sz w:val="16"/>
              </w:rPr>
              <w:t>％</w:t>
            </w:r>
          </w:p>
          <w:p>
            <w:pPr>
              <w:pStyle w:val="0"/>
              <w:widowControl w:val="1"/>
              <w:jc w:val="left"/>
              <w:rPr>
                <w:rFonts w:hint="default" w:ascii="ＭＳ 明朝" w:hAnsi="ＭＳ 明朝"/>
                <w:color w:val="auto"/>
                <w:sz w:val="16"/>
              </w:rPr>
            </w:pPr>
            <w:r>
              <w:rPr>
                <w:rFonts w:hint="eastAsia" w:ascii="ＭＳ 明朝" w:hAnsi="ＭＳ 明朝"/>
                <w:color w:val="000000" w:themeColor="text1"/>
                <w:sz w:val="16"/>
                <w:u w:val="none" w:color="auto"/>
              </w:rPr>
              <w:t>・標準伐期齢未満：</w:t>
            </w:r>
            <w:r>
              <w:rPr>
                <w:rFonts w:hint="eastAsia" w:ascii="ＭＳ 明朝" w:hAnsi="ＭＳ 明朝"/>
                <w:color w:val="000000" w:themeColor="text1"/>
                <w:sz w:val="16"/>
                <w:u w:val="none" w:color="auto"/>
              </w:rPr>
              <w:t>10</w:t>
            </w:r>
            <w:r>
              <w:rPr>
                <w:rFonts w:hint="eastAsia" w:ascii="ＭＳ 明朝" w:hAnsi="ＭＳ 明朝"/>
                <w:color w:val="000000" w:themeColor="text1"/>
                <w:sz w:val="16"/>
                <w:u w:val="none" w:color="auto"/>
              </w:rPr>
              <w:t>年</w:t>
            </w:r>
          </w:p>
        </w:tc>
      </w:tr>
    </w:tbl>
    <w:p>
      <w:pPr>
        <w:pStyle w:val="0"/>
        <w:ind w:left="210" w:hanging="210" w:hangingChars="100"/>
        <w:rPr>
          <w:rFonts w:hint="default" w:ascii="ＭＳ 明朝" w:hAnsi="ＭＳ 明朝"/>
          <w:color w:val="auto"/>
        </w:rPr>
      </w:pPr>
    </w:p>
    <w:p>
      <w:pPr>
        <w:pStyle w:val="0"/>
        <w:ind w:left="210" w:hanging="210" w:hangingChars="100"/>
        <w:rPr>
          <w:rFonts w:hint="default" w:ascii="ＭＳ 明朝" w:hAnsi="ＭＳ 明朝"/>
          <w:color w:val="auto"/>
        </w:rPr>
      </w:pPr>
      <w:r>
        <w:rPr>
          <w:rFonts w:hint="eastAsia" w:ascii="ＭＳ 明朝" w:hAnsi="ＭＳ 明朝"/>
          <w:color w:val="auto"/>
        </w:rPr>
        <w:t>※　「カラマツ間伐施業指針」、「トドマツ人工林間伐の手引き」、「アカエゾマツ人工林施業の手引き（（地独）北海道立総合研究機構林業試験場発行）」などを参考とした。</w:t>
      </w:r>
    </w:p>
    <w:p>
      <w:pPr>
        <w:pStyle w:val="0"/>
        <w:ind w:left="210" w:hanging="210" w:hangingChars="100"/>
        <w:rPr>
          <w:rFonts w:hint="default" w:ascii="ＭＳ 明朝" w:hAnsi="ＭＳ 明朝"/>
          <w:color w:val="auto"/>
        </w:rPr>
      </w:pPr>
      <w:r>
        <w:rPr>
          <w:rFonts w:hint="eastAsia" w:ascii="ＭＳ 明朝" w:hAnsi="ＭＳ 明朝"/>
          <w:color w:val="auto"/>
        </w:rPr>
        <w:t>※　植栽本数、主伐時の生産目標及び仕立て方法、主伐後の施業方針等により、間伐時期が異なる場合がある。</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保育の作業種別の標準的な方法</w:t>
      </w:r>
    </w:p>
    <w:p>
      <w:pPr>
        <w:pStyle w:val="0"/>
        <w:rPr>
          <w:rFonts w:hint="default" w:ascii="ＭＳ 明朝" w:hAnsi="ＭＳ 明朝"/>
          <w:color w:val="auto"/>
        </w:rPr>
      </w:pPr>
      <w:r>
        <w:rPr>
          <w:rFonts w:hint="eastAsia" w:ascii="ＭＳ 明朝" w:hAnsi="ＭＳ 明朝"/>
          <w:color w:val="auto"/>
        </w:rPr>
        <w:t>　　保育の標準的な方法及び主要樹種ごとの標準的な実施の時期等は次のとおりとします。</w:t>
      </w:r>
    </w:p>
    <w:p>
      <w:pPr>
        <w:pStyle w:val="0"/>
        <w:ind w:firstLine="210" w:firstLineChars="100"/>
        <w:rPr>
          <w:rFonts w:hint="default" w:ascii="ＭＳ 明朝" w:hAnsi="ＭＳ 明朝"/>
          <w:color w:val="auto"/>
        </w:rPr>
      </w:pPr>
      <w:r>
        <w:rPr>
          <w:rFonts w:hint="eastAsia" w:ascii="ＭＳ 明朝" w:hAnsi="ＭＳ 明朝"/>
          <w:color w:val="auto"/>
        </w:rPr>
        <w:t>（１）　下刈り</w:t>
      </w:r>
    </w:p>
    <w:p>
      <w:pPr>
        <w:pStyle w:val="0"/>
        <w:ind w:left="840" w:leftChars="400" w:firstLine="210" w:firstLineChars="100"/>
        <w:rPr>
          <w:rFonts w:hint="default" w:ascii="ＭＳ 明朝" w:hAnsi="ＭＳ 明朝"/>
          <w:color w:val="auto"/>
        </w:rPr>
      </w:pPr>
      <w:r>
        <w:rPr>
          <w:rFonts w:hint="eastAsia" w:ascii="ＭＳ 明朝" w:hAnsi="ＭＳ 明朝"/>
          <w:color w:val="auto"/>
        </w:rPr>
        <w:t>植栽木の成長を阻害する草本植物等を除去し、植栽木の健全な育成を図るため、特に作業の省力化・効率化にも留意しつつ、局地的気象条件、植生の繁茂状況等に応じて適切な時期及び作業方法により行うこととし、その終期は造林樹種の生育状況、植生の種類及び植生高により判断することとします。</w:t>
      </w:r>
    </w:p>
    <w:p>
      <w:pPr>
        <w:pStyle w:val="0"/>
        <w:ind w:firstLine="210" w:firstLineChars="100"/>
        <w:rPr>
          <w:rFonts w:hint="default" w:ascii="ＭＳ 明朝" w:hAnsi="ＭＳ 明朝"/>
          <w:color w:val="auto"/>
        </w:rPr>
      </w:pPr>
      <w:r>
        <w:rPr>
          <w:rFonts w:hint="eastAsia" w:ascii="ＭＳ 明朝" w:hAnsi="ＭＳ 明朝"/>
          <w:color w:val="auto"/>
        </w:rPr>
        <w:t>（２）　除伐</w:t>
      </w:r>
    </w:p>
    <w:p>
      <w:pPr>
        <w:pStyle w:val="0"/>
        <w:ind w:left="840" w:leftChars="400" w:firstLine="210" w:firstLineChars="100"/>
        <w:rPr>
          <w:rFonts w:hint="default" w:ascii="ＭＳ 明朝" w:hAnsi="ＭＳ 明朝"/>
          <w:color w:val="auto"/>
        </w:rPr>
      </w:pPr>
      <w:r>
        <w:rPr>
          <w:rFonts w:hint="eastAsia" w:ascii="ＭＳ 明朝" w:hAnsi="ＭＳ 明朝"/>
          <w:color w:val="auto"/>
        </w:rPr>
        <w:t>下刈りの終了後、林冠がうっ閉する前の森林において、侵入木や通常の成長が見込めない若しくは形質の悪い造林樹種などを除去し、植栽樹種の健全な成長を図るため、森林の状況に応じて適時適切に行うことと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なお、植林樹種以外であっても、その生育状況や森林の有する多面的機能の発揮及び将来の利用価値等を勘案し、有用なものは</w:t>
      </w:r>
      <w:r>
        <w:rPr>
          <w:rFonts w:hint="eastAsia" w:ascii="ＭＳ 明朝" w:hAnsi="ＭＳ 明朝"/>
          <w:color w:val="000000" w:themeColor="text1"/>
          <w:u w:val="none" w:color="auto"/>
        </w:rPr>
        <w:t>保残</w:t>
      </w:r>
      <w:r>
        <w:rPr>
          <w:rFonts w:hint="eastAsia" w:ascii="ＭＳ 明朝" w:hAnsi="ＭＳ 明朝"/>
          <w:color w:val="auto"/>
        </w:rPr>
        <w:t>し育成の対象とすることも検討します。</w:t>
      </w:r>
    </w:p>
    <w:p>
      <w:pPr>
        <w:pStyle w:val="0"/>
        <w:ind w:firstLine="210" w:firstLineChars="100"/>
        <w:rPr>
          <w:rFonts w:hint="default" w:ascii="ＭＳ 明朝" w:hAnsi="ＭＳ 明朝"/>
          <w:color w:val="auto"/>
        </w:rPr>
      </w:pPr>
      <w:r>
        <w:rPr>
          <w:rFonts w:hint="eastAsia" w:ascii="ＭＳ 明朝" w:hAnsi="ＭＳ 明朝"/>
          <w:color w:val="auto"/>
        </w:rPr>
        <w:t>（３）　つる切り</w:t>
      </w:r>
    </w:p>
    <w:p>
      <w:pPr>
        <w:pStyle w:val="0"/>
        <w:ind w:left="840" w:leftChars="400" w:firstLine="210" w:firstLineChars="100"/>
        <w:rPr>
          <w:rFonts w:hint="default" w:ascii="ＭＳ 明朝" w:hAnsi="ＭＳ 明朝"/>
          <w:color w:val="auto"/>
        </w:rPr>
      </w:pPr>
      <w:r>
        <w:rPr>
          <w:rFonts w:hint="eastAsia" w:ascii="ＭＳ 明朝" w:hAnsi="ＭＳ 明朝"/>
          <w:color w:val="auto"/>
        </w:rPr>
        <w:t>育成の対象となる林木の成長を促すため、樹幹に巻き付いたつる類を切って除去することとし、除伐と併せて行うことを基本とし、つる類の繁茂状況に応じて行うこととします。</w:t>
      </w:r>
    </w:p>
    <w:p>
      <w:pPr>
        <w:pStyle w:val="0"/>
        <w:ind w:left="840" w:leftChars="400" w:firstLine="210" w:firstLineChars="100"/>
        <w:rPr>
          <w:rFonts w:hint="default" w:ascii="ＭＳ 明朝" w:hAnsi="ＭＳ 明朝"/>
          <w:color w:val="auto"/>
        </w:rPr>
      </w:pPr>
    </w:p>
    <w:tbl>
      <w:tblPr>
        <w:tblStyle w:val="23"/>
        <w:tblW w:w="9105" w:type="dxa"/>
        <w:jc w:val="center"/>
        <w:tblInd w:w="0" w:type="dxa"/>
        <w:tblLayout w:type="fixed"/>
        <w:tblLook w:firstRow="1" w:lastRow="0" w:firstColumn="1" w:lastColumn="0" w:noHBand="0" w:noVBand="1" w:val="04A0"/>
      </w:tblPr>
      <w:tblGrid>
        <w:gridCol w:w="1275"/>
        <w:gridCol w:w="2160"/>
        <w:gridCol w:w="567"/>
        <w:gridCol w:w="567"/>
        <w:gridCol w:w="567"/>
        <w:gridCol w:w="567"/>
        <w:gridCol w:w="567"/>
        <w:gridCol w:w="567"/>
        <w:gridCol w:w="567"/>
        <w:gridCol w:w="567"/>
        <w:gridCol w:w="567"/>
        <w:gridCol w:w="567"/>
      </w:tblGrid>
      <w:tr>
        <w:trPr>
          <w:trHeight w:val="372" w:hRule="atLeast"/>
        </w:trPr>
        <w:tc>
          <w:tcPr>
            <w:tcW w:w="1275" w:type="dxa"/>
            <w:vMerge w:val="restart"/>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作業</w:t>
            </w:r>
          </w:p>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種別</w:t>
            </w:r>
          </w:p>
        </w:tc>
        <w:tc>
          <w:tcPr>
            <w:tcW w:w="2160" w:type="dxa"/>
            <w:vMerge w:val="restart"/>
            <w:vAlign w:val="center"/>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樹種</w:t>
            </w:r>
          </w:p>
        </w:tc>
        <w:tc>
          <w:tcPr>
            <w:tcW w:w="5670" w:type="dxa"/>
            <w:gridSpan w:val="10"/>
            <w:vAlign w:val="top"/>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年</w:t>
            </w:r>
          </w:p>
        </w:tc>
      </w:tr>
      <w:tr>
        <w:trPr>
          <w:trHeight w:val="372" w:hRule="atLeast"/>
        </w:trPr>
        <w:tc>
          <w:tcPr>
            <w:tcW w:w="1275" w:type="dxa"/>
            <w:vMerge w:val="continue"/>
            <w:vAlign w:val="top"/>
          </w:tcPr>
          <w:p>
            <w:pPr>
              <w:pStyle w:val="0"/>
              <w:rPr>
                <w:rFonts w:hint="default"/>
              </w:rPr>
            </w:pPr>
          </w:p>
        </w:tc>
        <w:tc>
          <w:tcPr>
            <w:tcW w:w="2160" w:type="dxa"/>
            <w:vMerge w:val="continue"/>
            <w:vAlign w:val="top"/>
          </w:tcPr>
          <w:p>
            <w:pPr>
              <w:pStyle w:val="0"/>
              <w:rPr>
                <w:rFonts w:hint="default"/>
              </w:rPr>
            </w:pP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w:t>
            </w: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２</w:t>
            </w: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３</w:t>
            </w: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４</w:t>
            </w: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５</w:t>
            </w: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６</w:t>
            </w: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７</w:t>
            </w: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８</w:t>
            </w: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９</w:t>
            </w:r>
          </w:p>
        </w:tc>
        <w:tc>
          <w:tcPr>
            <w:tcW w:w="567" w:type="dxa"/>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w:t>
            </w:r>
            <w:r>
              <w:rPr>
                <w:rFonts w:hint="default" w:asciiTheme="minorEastAsia" w:hAnsiTheme="minorEastAsia" w:eastAsiaTheme="minorEastAsia"/>
                <w:color w:val="auto"/>
                <w:sz w:val="20"/>
              </w:rPr>
              <w:t>0</w:t>
            </w:r>
          </w:p>
        </w:tc>
      </w:tr>
      <w:tr>
        <w:trPr>
          <w:trHeight w:val="454" w:hRule="atLeast"/>
        </w:trPr>
        <w:tc>
          <w:tcPr>
            <w:tcW w:w="1275" w:type="dxa"/>
            <w:vMerge w:val="restart"/>
            <w:vAlign w:val="center"/>
          </w:tcPr>
          <w:p>
            <w:pPr>
              <w:pStyle w:val="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下刈り</w:t>
            </w:r>
          </w:p>
        </w:tc>
        <w:tc>
          <w:tcPr>
            <w:tcW w:w="2160" w:type="dxa"/>
            <w:vAlign w:val="center"/>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カラマツ</w:t>
            </w:r>
          </w:p>
        </w:tc>
        <w:tc>
          <w:tcPr>
            <w:tcW w:w="567" w:type="dxa"/>
            <w:vAlign w:val="top"/>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mc:AlternateContent>
                <mc:Choice Requires="wps">
                  <w:drawing>
                    <wp:anchor distT="0" distB="0" distL="114300" distR="114300" simplePos="0" relativeHeight="3" behindDoc="0" locked="0" layoutInCell="1" hidden="0" allowOverlap="1">
                      <wp:simplePos x="0" y="0"/>
                      <wp:positionH relativeFrom="column">
                        <wp:posOffset>-64770</wp:posOffset>
                      </wp:positionH>
                      <wp:positionV relativeFrom="paragraph">
                        <wp:posOffset>63500</wp:posOffset>
                      </wp:positionV>
                      <wp:extent cx="1066800" cy="143510"/>
                      <wp:effectExtent l="635" t="1270" r="29845" b="11430"/>
                      <wp:wrapNone/>
                      <wp:docPr id="1027" name="左右矢印 1"/>
                      <a:graphic xmlns:a="http://schemas.openxmlformats.org/drawingml/2006/main">
                        <a:graphicData uri="http://schemas.microsoft.com/office/word/2010/wordprocessingShape">
                          <wps:wsp>
                            <wps:cNvPr id="1027" name="左右矢印 1"/>
                            <wps:cNvSpPr/>
                            <wps:spPr>
                              <a:xfrm>
                                <a:off x="0" y="0"/>
                                <a:ext cx="1066800" cy="143510"/>
                              </a:xfrm>
                              <a:prstGeom prst="leftRightArrow">
                                <a:avLst/>
                              </a:prstGeom>
                              <a:solidFill>
                                <a:sysClr val="window" lastClr="FFFFFF"/>
                              </a:solidFill>
                              <a:ln w="6350" cap="flat" cmpd="sng" algn="ctr">
                                <a:solidFill>
                                  <a:sysClr val="windowText" lastClr="000000"/>
                                </a:solidFill>
                                <a:prstDash val="solid"/>
                                <a:miter lim="800000"/>
                              </a:ln>
                              <a:effectLst/>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 style="mso-position-vertical-relative:text;z-index:3;mso-wrap-distance-left:9pt;width:84pt;height:11.3pt;mso-position-horizontal-relative:text;position:absolute;margin-left:-5.09pt;margin-top:5pt;mso-wrap-distance-bottom:0pt;mso-wrap-distance-right:9pt;mso-wrap-distance-top:0pt;" o:spid="_x0000_s1027" o:allowincell="t" o:allowoverlap="t" filled="t" fillcolor="#ffffff" stroked="t" strokecolor="#000000" strokeweight="0.5pt" o:spt="69" type="#_x0000_t69" adj="10800,5400">
                      <v:fill/>
                      <v:stroke linestyle="single" miterlimit="8" endcap="flat" dashstyle="solid" filltype="solid"/>
                      <v:textbox style="layout-flow:horizontal;"/>
                      <v:imagedata o:title=""/>
                      <w10:wrap type="none" anchorx="text" anchory="text"/>
                    </v:shape>
                  </w:pict>
                </mc:Fallback>
              </mc:AlternateContent>
            </w: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r>
      <w:tr>
        <w:trPr>
          <w:trHeight w:val="454" w:hRule="atLeast"/>
        </w:trPr>
        <w:tc>
          <w:tcPr>
            <w:tcW w:w="1275" w:type="dxa"/>
            <w:vMerge w:val="continue"/>
            <w:vAlign w:val="center"/>
          </w:tcPr>
          <w:p>
            <w:pPr>
              <w:pStyle w:val="0"/>
              <w:jc w:val="center"/>
              <w:rPr>
                <w:rFonts w:hint="default" w:asciiTheme="minorEastAsia" w:hAnsiTheme="minorEastAsia" w:eastAsiaTheme="minorEastAsia"/>
                <w:sz w:val="20"/>
                <w:highlight w:val="yellow"/>
              </w:rPr>
            </w:pPr>
          </w:p>
        </w:tc>
        <w:tc>
          <w:tcPr>
            <w:tcW w:w="2160" w:type="dxa"/>
            <w:vAlign w:val="center"/>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トドマツ</w:t>
            </w:r>
          </w:p>
        </w:tc>
        <w:tc>
          <w:tcPr>
            <w:tcW w:w="567" w:type="dxa"/>
            <w:vAlign w:val="top"/>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mc:AlternateContent>
                <mc:Choice Requires="wps">
                  <w:drawing>
                    <wp:anchor distT="0" distB="0" distL="114300" distR="114300" simplePos="0" relativeHeight="4" behindDoc="0" locked="0" layoutInCell="1" hidden="0" allowOverlap="1">
                      <wp:simplePos x="0" y="0"/>
                      <wp:positionH relativeFrom="column">
                        <wp:posOffset>-58420</wp:posOffset>
                      </wp:positionH>
                      <wp:positionV relativeFrom="paragraph">
                        <wp:posOffset>52705</wp:posOffset>
                      </wp:positionV>
                      <wp:extent cx="1778000" cy="153035"/>
                      <wp:effectExtent l="635" t="1270" r="29845" b="11430"/>
                      <wp:wrapNone/>
                      <wp:docPr id="1028" name="左右矢印 2"/>
                      <a:graphic xmlns:a="http://schemas.openxmlformats.org/drawingml/2006/main">
                        <a:graphicData uri="http://schemas.microsoft.com/office/word/2010/wordprocessingShape">
                          <wps:wsp>
                            <wps:cNvPr id="1028" name="左右矢印 2"/>
                            <wps:cNvSpPr/>
                            <wps:spPr>
                              <a:xfrm>
                                <a:off x="0" y="0"/>
                                <a:ext cx="1778000" cy="153035"/>
                              </a:xfrm>
                              <a:prstGeom prst="leftRightArrow">
                                <a:avLst/>
                              </a:prstGeom>
                              <a:solidFill>
                                <a:sysClr val="window" lastClr="FFFFFF"/>
                              </a:solidFill>
                              <a:ln w="6350" cap="flat" cmpd="sng" algn="ctr">
                                <a:solidFill>
                                  <a:sysClr val="windowText" lastClr="000000"/>
                                </a:solidFill>
                                <a:prstDash val="solid"/>
                                <a:miter lim="800000"/>
                              </a:ln>
                              <a:effectLst/>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 style="mso-position-vertical-relative:text;z-index:4;mso-wrap-distance-left:9pt;width:140pt;height:12.05pt;mso-position-horizontal-relative:text;position:absolute;margin-left:-4.59pt;margin-top:4.1500000000000004pt;mso-wrap-distance-bottom:0pt;mso-wrap-distance-right:9pt;mso-wrap-distance-top:0pt;" o:spid="_x0000_s1028" o:allowincell="t" o:allowoverlap="t" filled="t" fillcolor="#ffffff" stroked="t" strokecolor="#000000" strokeweight="0.5pt" o:spt="69" type="#_x0000_t69" adj="10800,5400">
                      <v:fill/>
                      <v:stroke linestyle="single" miterlimit="8" endcap="flat" dashstyle="solid" filltype="solid"/>
                      <v:textbox style="layout-flow:horizontal;"/>
                      <v:imagedata o:title=""/>
                      <w10:wrap type="none" anchorx="text" anchory="text"/>
                    </v:shape>
                  </w:pict>
                </mc:Fallback>
              </mc:AlternateContent>
            </w: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r>
      <w:tr>
        <w:trPr>
          <w:trHeight w:val="454" w:hRule="atLeast"/>
        </w:trPr>
        <w:tc>
          <w:tcPr>
            <w:tcW w:w="1275" w:type="dxa"/>
            <w:vMerge w:val="continue"/>
            <w:vAlign w:val="center"/>
          </w:tcPr>
          <w:p>
            <w:pPr>
              <w:pStyle w:val="0"/>
              <w:rPr>
                <w:rFonts w:hint="default" w:asciiTheme="minorEastAsia" w:hAnsiTheme="minorEastAsia" w:eastAsiaTheme="minorEastAsia"/>
                <w:sz w:val="20"/>
                <w:highlight w:val="yellow"/>
              </w:rPr>
            </w:pPr>
          </w:p>
        </w:tc>
        <w:tc>
          <w:tcPr>
            <w:tcW w:w="2160" w:type="dxa"/>
            <w:vAlign w:val="center"/>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アカエゾマツ</w:t>
            </w: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mc:AlternateContent>
                <mc:Choice Requires="wps">
                  <w:drawing>
                    <wp:anchor distT="0" distB="0" distL="114300" distR="114300" simplePos="0" relativeHeight="5" behindDoc="0" locked="0" layoutInCell="1" hidden="0" allowOverlap="1">
                      <wp:simplePos x="0" y="0"/>
                      <wp:positionH relativeFrom="column">
                        <wp:posOffset>-1141730</wp:posOffset>
                      </wp:positionH>
                      <wp:positionV relativeFrom="paragraph">
                        <wp:posOffset>66040</wp:posOffset>
                      </wp:positionV>
                      <wp:extent cx="1778000" cy="153035"/>
                      <wp:effectExtent l="635" t="1270" r="29845" b="11430"/>
                      <wp:wrapNone/>
                      <wp:docPr id="1029" name="左右矢印 9"/>
                      <a:graphic xmlns:a="http://schemas.openxmlformats.org/drawingml/2006/main">
                        <a:graphicData uri="http://schemas.microsoft.com/office/word/2010/wordprocessingShape">
                          <wps:wsp>
                            <wps:cNvPr id="1029" name="左右矢印 9"/>
                            <wps:cNvSpPr/>
                            <wps:spPr>
                              <a:xfrm>
                                <a:off x="0" y="0"/>
                                <a:ext cx="1778000" cy="153035"/>
                              </a:xfrm>
                              <a:prstGeom prst="leftRightArrow">
                                <a:avLst/>
                              </a:prstGeom>
                              <a:solidFill>
                                <a:sysClr val="window" lastClr="FFFFFF"/>
                              </a:solidFill>
                              <a:ln w="6350" cap="flat" cmpd="sng" algn="ctr">
                                <a:solidFill>
                                  <a:sysClr val="windowText" lastClr="000000"/>
                                </a:solidFill>
                                <a:prstDash val="solid"/>
                                <a:miter lim="800000"/>
                              </a:ln>
                              <a:effectLst/>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9" style="mso-position-vertical-relative:text;z-index:5;mso-wrap-distance-left:9pt;width:140pt;height:12.05pt;mso-position-horizontal-relative:text;position:absolute;margin-left:-89.9pt;margin-top:5.2pt;mso-wrap-distance-bottom:0pt;mso-wrap-distance-right:9pt;mso-wrap-distance-top:0pt;" o:spid="_x0000_s1029" o:allowincell="t" o:allowoverlap="t" filled="t" fillcolor="#ffffff" stroked="t" strokecolor="#000000" strokeweight="0.5pt" o:spt="69" type="#_x0000_t69" adj="10800,5400">
                      <v:fill/>
                      <v:stroke linestyle="single" miterlimit="8" endcap="flat" dashstyle="solid" filltype="solid"/>
                      <v:textbox style="layout-flow:horizontal;"/>
                      <v:imagedata o:title=""/>
                      <w10:wrap type="none" anchorx="text" anchory="text"/>
                    </v:shape>
                  </w:pict>
                </mc:Fallback>
              </mc:AlternateContent>
            </w: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c>
          <w:tcPr>
            <w:tcW w:w="567" w:type="dxa"/>
            <w:vAlign w:val="top"/>
          </w:tcPr>
          <w:p>
            <w:pPr>
              <w:pStyle w:val="0"/>
              <w:rPr>
                <w:rFonts w:hint="default" w:asciiTheme="minorEastAsia" w:hAnsiTheme="minorEastAsia" w:eastAsiaTheme="minorEastAsia"/>
                <w:color w:val="auto"/>
              </w:rPr>
            </w:pPr>
          </w:p>
        </w:tc>
      </w:tr>
    </w:tbl>
    <w:p>
      <w:pPr>
        <w:pStyle w:val="0"/>
        <w:ind w:left="420" w:hanging="420" w:hangingChars="200"/>
        <w:rPr>
          <w:rFonts w:hint="default" w:ascii="HG丸ｺﾞｼｯｸM-PRO" w:hAnsi="HG丸ｺﾞｼｯｸM-PRO" w:eastAsia="HG丸ｺﾞｼｯｸM-PRO"/>
          <w:color w:val="auto"/>
        </w:rPr>
      </w:pPr>
      <w:r>
        <w:rPr>
          <w:rFonts w:hint="eastAsia" w:ascii="ＭＳ 明朝" w:hAnsi="ＭＳ 明朝"/>
          <w:color w:val="auto"/>
        </w:rPr>
        <w:t>　</w:t>
      </w:r>
      <w:r>
        <w:rPr>
          <w:rFonts w:hint="eastAsia" w:ascii="HG丸ｺﾞｼｯｸM-PRO" w:hAnsi="HG丸ｺﾞｼｯｸM-PRO" w:eastAsia="HG丸ｺﾞｼｯｸM-PRO"/>
          <w:color w:val="auto"/>
        </w:rPr>
        <w:t>注）下刈りは、現地の状況に応じて、省略や隔年での実施、早期の終了を検討すること。</w:t>
      </w:r>
    </w:p>
    <w:p>
      <w:pPr>
        <w:pStyle w:val="0"/>
        <w:ind w:left="630" w:leftChars="300"/>
        <w:rPr>
          <w:rFonts w:hint="default" w:ascii="ＭＳ 明朝" w:hAnsi="ＭＳ 明朝"/>
          <w:color w:val="auto"/>
        </w:rPr>
      </w:pPr>
      <w:r>
        <w:rPr>
          <w:rFonts w:hint="eastAsia" w:ascii="HG丸ｺﾞｼｯｸM-PRO" w:hAnsi="HG丸ｺﾞｼｯｸM-PRO" w:eastAsia="HG丸ｺﾞｼｯｸM-PRO"/>
          <w:color w:val="auto"/>
        </w:rPr>
        <w:t>年２回の下刈りは、植栽木と下層植生の競合状態などを把握した上で、必要な場合のみ実施すること。</w:t>
      </w:r>
    </w:p>
    <w:p>
      <w:pPr>
        <w:pStyle w:val="0"/>
        <w:rPr>
          <w:rFonts w:hint="default" w:ascii="ＭＳ 明朝" w:hAnsi="ＭＳ 明朝"/>
          <w:color w:val="auto"/>
        </w:rPr>
      </w:pPr>
    </w:p>
    <w:tbl>
      <w:tblPr>
        <w:tblStyle w:val="11"/>
        <w:tblW w:w="96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7"/>
        <w:gridCol w:w="1458"/>
        <w:gridCol w:w="680"/>
        <w:gridCol w:w="680"/>
        <w:gridCol w:w="681"/>
        <w:gridCol w:w="680"/>
        <w:gridCol w:w="681"/>
        <w:gridCol w:w="680"/>
        <w:gridCol w:w="680"/>
        <w:gridCol w:w="681"/>
        <w:gridCol w:w="680"/>
        <w:gridCol w:w="681"/>
      </w:tblGrid>
      <w:tr>
        <w:trPr>
          <w:trHeight w:val="643" w:hRule="atLeast"/>
        </w:trPr>
        <w:tc>
          <w:tcPr>
            <w:tcW w:w="1417" w:type="dxa"/>
            <w:vAlign w:val="center"/>
          </w:tcPr>
          <w:p>
            <w:pPr>
              <w:pStyle w:val="0"/>
              <w:jc w:val="center"/>
              <w:rPr>
                <w:rFonts w:hint="default" w:ascii="ＭＳ 明朝" w:hAnsi="ＭＳ 明朝"/>
                <w:color w:val="auto"/>
              </w:rPr>
            </w:pPr>
            <w:r>
              <w:rPr>
                <w:rFonts w:hint="eastAsia" w:ascii="ＭＳ 明朝" w:hAnsi="ＭＳ 明朝"/>
                <w:color w:val="auto"/>
              </w:rPr>
              <w:t>樹種</w:t>
            </w:r>
          </w:p>
        </w:tc>
        <w:tc>
          <w:tcPr>
            <w:tcW w:w="145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bottom"/>
          </w:tcPr>
          <w:p>
            <w:pPr>
              <w:pStyle w:val="0"/>
              <w:widowControl w:val="1"/>
              <w:ind w:firstLine="1050" w:firstLineChars="500"/>
              <w:rPr>
                <w:rFonts w:hint="default" w:ascii="ＭＳ 明朝" w:hAnsi="ＭＳ 明朝"/>
                <w:color w:val="auto"/>
              </w:rPr>
            </w:pPr>
            <w:r>
              <w:rPr>
                <w:rFonts w:hint="eastAsia" w:ascii="ＭＳ 明朝" w:hAnsi="ＭＳ 明朝"/>
                <w:color w:val="auto"/>
              </w:rPr>
              <w:t>年</w:t>
            </w:r>
          </w:p>
          <w:p>
            <w:pPr>
              <w:pStyle w:val="0"/>
              <w:rPr>
                <w:rFonts w:hint="default" w:ascii="ＭＳ 明朝" w:hAnsi="ＭＳ 明朝"/>
                <w:color w:val="auto"/>
                <w:sz w:val="18"/>
              </w:rPr>
            </w:pPr>
            <w:r>
              <w:rPr>
                <w:rFonts w:hint="eastAsia" w:ascii="ＭＳ 明朝" w:hAnsi="ＭＳ 明朝"/>
                <w:color w:val="auto"/>
                <w:sz w:val="18"/>
              </w:rPr>
              <w:t>植栽時期</w:t>
            </w:r>
          </w:p>
        </w:tc>
        <w:tc>
          <w:tcPr>
            <w:tcW w:w="680" w:type="dxa"/>
            <w:vAlign w:val="center"/>
          </w:tcPr>
          <w:p>
            <w:pPr>
              <w:pStyle w:val="0"/>
              <w:jc w:val="center"/>
              <w:rPr>
                <w:rFonts w:hint="default" w:ascii="ＭＳ 明朝" w:hAnsi="ＭＳ 明朝"/>
                <w:color w:val="auto"/>
              </w:rPr>
            </w:pPr>
            <w:r>
              <w:rPr>
                <w:rFonts w:hint="eastAsia" w:ascii="ＭＳ 明朝" w:hAnsi="ＭＳ 明朝"/>
                <w:color w:val="auto"/>
              </w:rPr>
              <w:t>１１</w:t>
            </w:r>
          </w:p>
        </w:tc>
        <w:tc>
          <w:tcPr>
            <w:tcW w:w="680" w:type="dxa"/>
            <w:vAlign w:val="center"/>
          </w:tcPr>
          <w:p>
            <w:pPr>
              <w:pStyle w:val="0"/>
              <w:jc w:val="center"/>
              <w:rPr>
                <w:rFonts w:hint="default" w:ascii="ＭＳ 明朝" w:hAnsi="ＭＳ 明朝"/>
                <w:color w:val="auto"/>
              </w:rPr>
            </w:pPr>
            <w:r>
              <w:rPr>
                <w:rFonts w:hint="eastAsia" w:ascii="ＭＳ 明朝" w:hAnsi="ＭＳ 明朝"/>
                <w:color w:val="auto"/>
              </w:rPr>
              <w:t>１２</w:t>
            </w:r>
          </w:p>
        </w:tc>
        <w:tc>
          <w:tcPr>
            <w:tcW w:w="681" w:type="dxa"/>
            <w:vAlign w:val="center"/>
          </w:tcPr>
          <w:p>
            <w:pPr>
              <w:pStyle w:val="0"/>
              <w:jc w:val="center"/>
              <w:rPr>
                <w:rFonts w:hint="default" w:ascii="ＭＳ 明朝" w:hAnsi="ＭＳ 明朝"/>
                <w:color w:val="auto"/>
              </w:rPr>
            </w:pPr>
            <w:r>
              <w:rPr>
                <w:rFonts w:hint="eastAsia" w:ascii="ＭＳ 明朝" w:hAnsi="ＭＳ 明朝"/>
                <w:color w:val="auto"/>
              </w:rPr>
              <w:t>１３</w:t>
            </w:r>
          </w:p>
        </w:tc>
        <w:tc>
          <w:tcPr>
            <w:tcW w:w="680" w:type="dxa"/>
            <w:vAlign w:val="center"/>
          </w:tcPr>
          <w:p>
            <w:pPr>
              <w:pStyle w:val="0"/>
              <w:jc w:val="center"/>
              <w:rPr>
                <w:rFonts w:hint="default" w:ascii="ＭＳ 明朝" w:hAnsi="ＭＳ 明朝"/>
                <w:color w:val="auto"/>
              </w:rPr>
            </w:pPr>
            <w:r>
              <w:rPr>
                <w:rFonts w:hint="eastAsia" w:ascii="ＭＳ 明朝" w:hAnsi="ＭＳ 明朝"/>
                <w:color w:val="auto"/>
              </w:rPr>
              <w:t>１４</w:t>
            </w:r>
          </w:p>
        </w:tc>
        <w:tc>
          <w:tcPr>
            <w:tcW w:w="681" w:type="dxa"/>
            <w:vAlign w:val="center"/>
          </w:tcPr>
          <w:p>
            <w:pPr>
              <w:pStyle w:val="0"/>
              <w:jc w:val="center"/>
              <w:rPr>
                <w:rFonts w:hint="default" w:ascii="ＭＳ 明朝" w:hAnsi="ＭＳ 明朝"/>
                <w:color w:val="auto"/>
              </w:rPr>
            </w:pPr>
            <w:r>
              <w:rPr>
                <w:rFonts w:hint="eastAsia" w:ascii="ＭＳ 明朝" w:hAnsi="ＭＳ 明朝"/>
                <w:color w:val="auto"/>
              </w:rPr>
              <w:t>１５</w:t>
            </w:r>
          </w:p>
        </w:tc>
        <w:tc>
          <w:tcPr>
            <w:tcW w:w="680" w:type="dxa"/>
            <w:vAlign w:val="center"/>
          </w:tcPr>
          <w:p>
            <w:pPr>
              <w:pStyle w:val="0"/>
              <w:jc w:val="center"/>
              <w:rPr>
                <w:rFonts w:hint="default" w:ascii="ＭＳ 明朝" w:hAnsi="ＭＳ 明朝"/>
                <w:color w:val="auto"/>
              </w:rPr>
            </w:pPr>
            <w:r>
              <w:rPr>
                <w:rFonts w:hint="eastAsia" w:ascii="ＭＳ 明朝" w:hAnsi="ＭＳ 明朝"/>
                <w:color w:val="auto"/>
              </w:rPr>
              <w:t>１６</w:t>
            </w:r>
          </w:p>
        </w:tc>
        <w:tc>
          <w:tcPr>
            <w:tcW w:w="680" w:type="dxa"/>
            <w:vAlign w:val="center"/>
          </w:tcPr>
          <w:p>
            <w:pPr>
              <w:pStyle w:val="0"/>
              <w:jc w:val="center"/>
              <w:rPr>
                <w:rFonts w:hint="default" w:ascii="ＭＳ 明朝" w:hAnsi="ＭＳ 明朝"/>
                <w:color w:val="auto"/>
              </w:rPr>
            </w:pPr>
            <w:r>
              <w:rPr>
                <w:rFonts w:hint="eastAsia" w:ascii="ＭＳ 明朝" w:hAnsi="ＭＳ 明朝"/>
                <w:color w:val="auto"/>
              </w:rPr>
              <w:t>１７</w:t>
            </w:r>
          </w:p>
        </w:tc>
        <w:tc>
          <w:tcPr>
            <w:tcW w:w="681" w:type="dxa"/>
            <w:vAlign w:val="center"/>
          </w:tcPr>
          <w:p>
            <w:pPr>
              <w:pStyle w:val="0"/>
              <w:jc w:val="center"/>
              <w:rPr>
                <w:rFonts w:hint="default" w:ascii="ＭＳ 明朝" w:hAnsi="ＭＳ 明朝"/>
                <w:color w:val="auto"/>
              </w:rPr>
            </w:pPr>
            <w:r>
              <w:rPr>
                <w:rFonts w:hint="eastAsia" w:ascii="ＭＳ 明朝" w:hAnsi="ＭＳ 明朝"/>
                <w:color w:val="auto"/>
              </w:rPr>
              <w:t>１８</w:t>
            </w:r>
          </w:p>
        </w:tc>
        <w:tc>
          <w:tcPr>
            <w:tcW w:w="680" w:type="dxa"/>
            <w:vAlign w:val="center"/>
          </w:tcPr>
          <w:p>
            <w:pPr>
              <w:pStyle w:val="0"/>
              <w:jc w:val="center"/>
              <w:rPr>
                <w:rFonts w:hint="default" w:ascii="ＭＳ 明朝" w:hAnsi="ＭＳ 明朝"/>
                <w:color w:val="auto"/>
              </w:rPr>
            </w:pPr>
            <w:r>
              <w:rPr>
                <w:rFonts w:hint="eastAsia" w:ascii="ＭＳ 明朝" w:hAnsi="ＭＳ 明朝"/>
                <w:color w:val="auto"/>
              </w:rPr>
              <w:t>１９</w:t>
            </w:r>
          </w:p>
        </w:tc>
        <w:tc>
          <w:tcPr>
            <w:tcW w:w="681" w:type="dxa"/>
            <w:vAlign w:val="center"/>
          </w:tcPr>
          <w:p>
            <w:pPr>
              <w:pStyle w:val="0"/>
              <w:jc w:val="center"/>
              <w:rPr>
                <w:rFonts w:hint="default" w:ascii="ＭＳ 明朝" w:hAnsi="ＭＳ 明朝"/>
                <w:color w:val="auto"/>
              </w:rPr>
            </w:pPr>
            <w:r>
              <w:rPr>
                <w:rFonts w:hint="eastAsia" w:ascii="ＭＳ 明朝" w:hAnsi="ＭＳ 明朝"/>
                <w:color w:val="auto"/>
              </w:rPr>
              <w:t>２０</w:t>
            </w:r>
          </w:p>
        </w:tc>
      </w:tr>
      <w:tr>
        <w:trPr>
          <w:trHeight w:val="314" w:hRule="atLeast"/>
        </w:trPr>
        <w:tc>
          <w:tcPr>
            <w:tcW w:w="1417" w:type="dxa"/>
            <w:vMerge w:val="restart"/>
            <w:vAlign w:val="center"/>
          </w:tcPr>
          <w:p>
            <w:pPr>
              <w:pStyle w:val="0"/>
              <w:jc w:val="center"/>
              <w:rPr>
                <w:rFonts w:hint="default" w:ascii="ＭＳ 明朝" w:hAnsi="ＭＳ 明朝"/>
                <w:color w:val="auto"/>
              </w:rPr>
            </w:pPr>
            <w:r>
              <w:rPr>
                <w:rFonts w:hint="eastAsia" w:ascii="ＭＳ 明朝" w:hAnsi="ＭＳ 明朝"/>
                <w:color w:val="auto"/>
              </w:rPr>
              <w:t>カラマツ</w:t>
            </w:r>
          </w:p>
        </w:tc>
        <w:tc>
          <w:tcPr>
            <w:tcW w:w="1458" w:type="dxa"/>
            <w:vAlign w:val="center"/>
          </w:tcPr>
          <w:p>
            <w:pPr>
              <w:pStyle w:val="0"/>
              <w:jc w:val="center"/>
              <w:rPr>
                <w:rFonts w:hint="default" w:ascii="ＭＳ 明朝" w:hAnsi="ＭＳ 明朝"/>
                <w:color w:val="auto"/>
              </w:rPr>
            </w:pPr>
            <w:r>
              <w:rPr>
                <w:rFonts w:hint="eastAsia" w:ascii="ＭＳ 明朝" w:hAnsi="ＭＳ 明朝"/>
                <w:color w:val="auto"/>
              </w:rPr>
              <w:t>春</w:t>
            </w: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r>
              <w:rPr>
                <w:rFonts w:hint="eastAsia" w:ascii="ＭＳ 明朝" w:hAnsi="ＭＳ 明朝" w:eastAsia="ＭＳ 明朝"/>
                <w:color w:val="auto"/>
                <w:spacing w:val="0"/>
                <w:sz w:val="20"/>
              </w:rPr>
              <w:t>△</w:t>
            </w: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r>
      <w:tr>
        <w:trPr>
          <w:trHeight w:val="314" w:hRule="atLeast"/>
        </w:trPr>
        <w:tc>
          <w:tcPr>
            <w:tcW w:w="1417" w:type="dxa"/>
            <w:vMerge w:val="continue"/>
            <w:vAlign w:val="center"/>
          </w:tcPr>
          <w:p>
            <w:pPr>
              <w:pStyle w:val="0"/>
              <w:jc w:val="center"/>
              <w:rPr>
                <w:rFonts w:hint="default" w:ascii="ＭＳ 明朝" w:hAnsi="ＭＳ 明朝"/>
              </w:rPr>
            </w:pPr>
          </w:p>
        </w:tc>
        <w:tc>
          <w:tcPr>
            <w:tcW w:w="1458" w:type="dxa"/>
            <w:vAlign w:val="center"/>
          </w:tcPr>
          <w:p>
            <w:pPr>
              <w:pStyle w:val="0"/>
              <w:jc w:val="center"/>
              <w:rPr>
                <w:rFonts w:hint="default" w:ascii="ＭＳ 明朝" w:hAnsi="ＭＳ 明朝"/>
                <w:color w:val="auto"/>
              </w:rPr>
            </w:pPr>
            <w:r>
              <w:rPr>
                <w:rFonts w:hint="eastAsia" w:ascii="ＭＳ 明朝" w:hAnsi="ＭＳ 明朝"/>
                <w:color w:val="auto"/>
              </w:rPr>
              <w:t>秋</w:t>
            </w: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r>
              <w:rPr>
                <w:rFonts w:hint="eastAsia" w:ascii="ＭＳ 明朝" w:hAnsi="ＭＳ 明朝" w:eastAsia="ＭＳ 明朝"/>
                <w:color w:val="auto"/>
                <w:spacing w:val="0"/>
                <w:sz w:val="20"/>
              </w:rPr>
              <w:t>△</w:t>
            </w: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r>
      <w:tr>
        <w:trPr>
          <w:trHeight w:val="314" w:hRule="atLeast"/>
        </w:trPr>
        <w:tc>
          <w:tcPr>
            <w:tcW w:w="1417" w:type="dxa"/>
            <w:vMerge w:val="restart"/>
            <w:vAlign w:val="center"/>
          </w:tcPr>
          <w:p>
            <w:pPr>
              <w:pStyle w:val="0"/>
              <w:jc w:val="center"/>
              <w:rPr>
                <w:rFonts w:hint="default" w:ascii="ＭＳ 明朝" w:hAnsi="ＭＳ 明朝"/>
                <w:color w:val="auto"/>
              </w:rPr>
            </w:pPr>
            <w:r>
              <w:rPr>
                <w:rFonts w:hint="eastAsia" w:ascii="ＭＳ 明朝" w:hAnsi="ＭＳ 明朝"/>
                <w:color w:val="auto"/>
              </w:rPr>
              <w:t>トドマツ</w:t>
            </w:r>
          </w:p>
        </w:tc>
        <w:tc>
          <w:tcPr>
            <w:tcW w:w="1458" w:type="dxa"/>
            <w:vAlign w:val="center"/>
          </w:tcPr>
          <w:p>
            <w:pPr>
              <w:pStyle w:val="0"/>
              <w:jc w:val="center"/>
              <w:rPr>
                <w:rFonts w:hint="default" w:ascii="ＭＳ 明朝" w:hAnsi="ＭＳ 明朝"/>
                <w:color w:val="auto"/>
              </w:rPr>
            </w:pPr>
            <w:r>
              <w:rPr>
                <w:rFonts w:hint="eastAsia" w:ascii="ＭＳ 明朝" w:hAnsi="ＭＳ 明朝"/>
                <w:color w:val="auto"/>
              </w:rPr>
              <w:t>春</w:t>
            </w: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r>
              <w:rPr>
                <w:rFonts w:hint="eastAsia" w:ascii="ＭＳ 明朝" w:hAnsi="ＭＳ 明朝" w:eastAsia="ＭＳ 明朝"/>
                <w:color w:val="auto"/>
                <w:spacing w:val="0"/>
                <w:sz w:val="20"/>
              </w:rPr>
              <w:t>△</w:t>
            </w: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r>
      <w:tr>
        <w:trPr>
          <w:trHeight w:val="314" w:hRule="atLeast"/>
        </w:trPr>
        <w:tc>
          <w:tcPr>
            <w:tcW w:w="1417" w:type="dxa"/>
            <w:vMerge w:val="continue"/>
            <w:vAlign w:val="center"/>
          </w:tcPr>
          <w:p>
            <w:pPr>
              <w:pStyle w:val="0"/>
              <w:jc w:val="center"/>
              <w:rPr>
                <w:rFonts w:hint="default" w:ascii="ＭＳ 明朝" w:hAnsi="ＭＳ 明朝"/>
              </w:rPr>
            </w:pPr>
          </w:p>
        </w:tc>
        <w:tc>
          <w:tcPr>
            <w:tcW w:w="1458" w:type="dxa"/>
            <w:vAlign w:val="center"/>
          </w:tcPr>
          <w:p>
            <w:pPr>
              <w:pStyle w:val="0"/>
              <w:jc w:val="center"/>
              <w:rPr>
                <w:rFonts w:hint="default" w:ascii="ＭＳ 明朝" w:hAnsi="ＭＳ 明朝"/>
                <w:color w:val="auto"/>
              </w:rPr>
            </w:pPr>
            <w:r>
              <w:rPr>
                <w:rFonts w:hint="eastAsia" w:ascii="ＭＳ 明朝" w:hAnsi="ＭＳ 明朝"/>
                <w:color w:val="auto"/>
              </w:rPr>
              <w:t>秋</w:t>
            </w:r>
          </w:p>
        </w:tc>
        <w:tc>
          <w:tcPr>
            <w:tcW w:w="680" w:type="dxa"/>
            <w:vAlign w:val="center"/>
          </w:tcPr>
          <w:p>
            <w:pPr>
              <w:pStyle w:val="22"/>
              <w:spacing w:before="115" w:beforeLines="0" w:beforeAutospacing="0" w:line="225" w:lineRule="exact"/>
              <w:jc w:val="center"/>
              <w:rPr>
                <w:rFonts w:hint="default" w:ascii="ＭＳ 明朝" w:hAnsi="ＭＳ 明朝"/>
                <w:color w:val="auto"/>
                <w:sz w:val="20"/>
              </w:rPr>
            </w:pPr>
          </w:p>
        </w:tc>
        <w:tc>
          <w:tcPr>
            <w:tcW w:w="680" w:type="dxa"/>
            <w:vAlign w:val="center"/>
          </w:tcPr>
          <w:p>
            <w:pPr>
              <w:pStyle w:val="22"/>
              <w:spacing w:before="115" w:beforeLines="0" w:beforeAutospacing="0" w:line="225" w:lineRule="exact"/>
              <w:jc w:val="center"/>
              <w:rPr>
                <w:rFonts w:hint="default" w:ascii="ＭＳ 明朝" w:hAnsi="ＭＳ 明朝"/>
                <w:color w:val="auto"/>
                <w:sz w:val="20"/>
              </w:rPr>
            </w:pPr>
          </w:p>
        </w:tc>
        <w:tc>
          <w:tcPr>
            <w:tcW w:w="681" w:type="dxa"/>
            <w:vAlign w:val="center"/>
          </w:tcPr>
          <w:p>
            <w:pPr>
              <w:pStyle w:val="22"/>
              <w:spacing w:before="115" w:beforeLines="0" w:beforeAutospacing="0" w:line="225" w:lineRule="exact"/>
              <w:jc w:val="center"/>
              <w:rPr>
                <w:rFonts w:hint="default" w:ascii="ＭＳ 明朝" w:hAnsi="ＭＳ 明朝"/>
                <w:color w:val="auto"/>
                <w:sz w:val="20"/>
              </w:rPr>
            </w:pPr>
          </w:p>
        </w:tc>
        <w:tc>
          <w:tcPr>
            <w:tcW w:w="680" w:type="dxa"/>
            <w:vAlign w:val="center"/>
          </w:tcPr>
          <w:p>
            <w:pPr>
              <w:pStyle w:val="22"/>
              <w:spacing w:before="115" w:beforeLines="0" w:beforeAutospacing="0" w:line="225" w:lineRule="exact"/>
              <w:jc w:val="center"/>
              <w:rPr>
                <w:rFonts w:hint="default" w:ascii="ＭＳ 明朝" w:hAnsi="ＭＳ 明朝"/>
                <w:color w:val="auto"/>
                <w:sz w:val="20"/>
              </w:rPr>
            </w:pPr>
          </w:p>
        </w:tc>
        <w:tc>
          <w:tcPr>
            <w:tcW w:w="681" w:type="dxa"/>
            <w:vAlign w:val="center"/>
          </w:tcPr>
          <w:p>
            <w:pPr>
              <w:pStyle w:val="22"/>
              <w:spacing w:before="115" w:beforeLines="0" w:beforeAutospacing="0" w:line="225" w:lineRule="exact"/>
              <w:ind w:left="0" w:leftChars="0"/>
              <w:jc w:val="center"/>
              <w:rPr>
                <w:rFonts w:hint="default" w:ascii="ＭＳ 明朝" w:hAnsi="ＭＳ 明朝"/>
                <w:color w:val="auto"/>
                <w:sz w:val="20"/>
              </w:rPr>
            </w:pPr>
            <w:r>
              <w:rPr>
                <w:rFonts w:hint="eastAsia" w:ascii="ＭＳ 明朝" w:hAnsi="ＭＳ 明朝"/>
                <w:color w:val="auto"/>
                <w:sz w:val="20"/>
              </w:rPr>
              <w:t>△</w:t>
            </w:r>
          </w:p>
        </w:tc>
        <w:tc>
          <w:tcPr>
            <w:tcW w:w="680" w:type="dxa"/>
            <w:vAlign w:val="center"/>
          </w:tcPr>
          <w:p>
            <w:pPr>
              <w:pStyle w:val="22"/>
              <w:spacing w:before="115" w:beforeLines="0" w:beforeAutospacing="0" w:line="225" w:lineRule="exact"/>
              <w:jc w:val="center"/>
              <w:rPr>
                <w:rFonts w:hint="default" w:ascii="ＭＳ 明朝" w:hAnsi="ＭＳ 明朝"/>
                <w:color w:val="auto"/>
                <w:sz w:val="20"/>
              </w:rPr>
            </w:pPr>
          </w:p>
        </w:tc>
        <w:tc>
          <w:tcPr>
            <w:tcW w:w="680" w:type="dxa"/>
            <w:vAlign w:val="center"/>
          </w:tcPr>
          <w:p>
            <w:pPr>
              <w:pStyle w:val="22"/>
              <w:spacing w:before="115" w:beforeLines="0" w:beforeAutospacing="0" w:line="225" w:lineRule="exact"/>
              <w:jc w:val="center"/>
              <w:rPr>
                <w:rFonts w:hint="default" w:ascii="ＭＳ 明朝" w:hAnsi="ＭＳ 明朝"/>
                <w:color w:val="auto"/>
                <w:sz w:val="20"/>
              </w:rPr>
            </w:pPr>
          </w:p>
        </w:tc>
        <w:tc>
          <w:tcPr>
            <w:tcW w:w="681" w:type="dxa"/>
            <w:vAlign w:val="center"/>
          </w:tcPr>
          <w:p>
            <w:pPr>
              <w:pStyle w:val="22"/>
              <w:spacing w:before="115" w:beforeLines="0" w:beforeAutospacing="0" w:line="225" w:lineRule="exact"/>
              <w:jc w:val="center"/>
              <w:rPr>
                <w:rFonts w:hint="default" w:ascii="ＭＳ 明朝" w:hAnsi="ＭＳ 明朝"/>
                <w:color w:val="auto"/>
                <w:sz w:val="20"/>
              </w:rPr>
            </w:pPr>
          </w:p>
        </w:tc>
        <w:tc>
          <w:tcPr>
            <w:tcW w:w="680" w:type="dxa"/>
            <w:vAlign w:val="center"/>
          </w:tcPr>
          <w:p>
            <w:pPr>
              <w:pStyle w:val="22"/>
              <w:spacing w:before="115" w:beforeLines="0" w:beforeAutospacing="0" w:line="225" w:lineRule="exact"/>
              <w:jc w:val="center"/>
              <w:rPr>
                <w:rFonts w:hint="default" w:ascii="ＭＳ 明朝" w:hAnsi="ＭＳ 明朝"/>
                <w:color w:val="auto"/>
                <w:sz w:val="20"/>
              </w:rPr>
            </w:pPr>
          </w:p>
        </w:tc>
        <w:tc>
          <w:tcPr>
            <w:tcW w:w="681" w:type="dxa"/>
            <w:vAlign w:val="center"/>
          </w:tcPr>
          <w:p>
            <w:pPr>
              <w:pStyle w:val="22"/>
              <w:spacing w:before="115" w:beforeLines="0" w:beforeAutospacing="0" w:line="225" w:lineRule="exact"/>
              <w:jc w:val="center"/>
              <w:rPr>
                <w:rFonts w:hint="default" w:ascii="ＭＳ 明朝" w:hAnsi="ＭＳ 明朝"/>
                <w:color w:val="auto"/>
                <w:sz w:val="20"/>
              </w:rPr>
            </w:pPr>
          </w:p>
        </w:tc>
      </w:tr>
      <w:tr>
        <w:trPr>
          <w:trHeight w:val="314" w:hRule="atLeast"/>
        </w:trPr>
        <w:tc>
          <w:tcPr>
            <w:tcW w:w="1417" w:type="dxa"/>
            <w:vMerge w:val="restart"/>
            <w:vAlign w:val="center"/>
          </w:tcPr>
          <w:p>
            <w:pPr>
              <w:pStyle w:val="0"/>
              <w:jc w:val="center"/>
              <w:rPr>
                <w:rFonts w:hint="default" w:ascii="ＭＳ 明朝" w:hAnsi="ＭＳ 明朝"/>
                <w:color w:val="auto"/>
              </w:rPr>
            </w:pPr>
            <w:r>
              <w:rPr>
                <w:rFonts w:hint="eastAsia" w:ascii="ＭＳ 明朝" w:hAnsi="ＭＳ 明朝"/>
                <w:color w:val="auto"/>
                <w:sz w:val="20"/>
              </w:rPr>
              <w:t>アカエゾマツ</w:t>
            </w:r>
          </w:p>
        </w:tc>
        <w:tc>
          <w:tcPr>
            <w:tcW w:w="1458" w:type="dxa"/>
            <w:vAlign w:val="center"/>
          </w:tcPr>
          <w:p>
            <w:pPr>
              <w:pStyle w:val="0"/>
              <w:jc w:val="center"/>
              <w:rPr>
                <w:rFonts w:hint="default" w:ascii="ＭＳ 明朝" w:hAnsi="ＭＳ 明朝"/>
                <w:color w:val="auto"/>
              </w:rPr>
            </w:pPr>
            <w:r>
              <w:rPr>
                <w:rFonts w:hint="eastAsia" w:ascii="ＭＳ 明朝" w:hAnsi="ＭＳ 明朝"/>
                <w:color w:val="auto"/>
              </w:rPr>
              <w:t>春</w:t>
            </w: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r>
              <w:rPr>
                <w:rFonts w:hint="eastAsia" w:ascii="ＭＳ 明朝" w:hAnsi="ＭＳ 明朝" w:eastAsia="ＭＳ 明朝"/>
                <w:color w:val="auto"/>
                <w:spacing w:val="0"/>
                <w:sz w:val="20"/>
              </w:rPr>
              <w:t>△</w:t>
            </w: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r>
      <w:tr>
        <w:trPr>
          <w:trHeight w:val="314" w:hRule="atLeast"/>
        </w:trPr>
        <w:tc>
          <w:tcPr>
            <w:tcW w:w="1417" w:type="dxa"/>
            <w:vMerge w:val="continue"/>
            <w:vAlign w:val="center"/>
          </w:tcPr>
          <w:p>
            <w:pPr>
              <w:pStyle w:val="0"/>
              <w:rPr>
                <w:rFonts w:hint="default"/>
              </w:rPr>
            </w:pPr>
          </w:p>
        </w:tc>
        <w:tc>
          <w:tcPr>
            <w:tcW w:w="1458" w:type="dxa"/>
            <w:vAlign w:val="center"/>
          </w:tcPr>
          <w:p>
            <w:pPr>
              <w:pStyle w:val="0"/>
              <w:jc w:val="center"/>
              <w:rPr>
                <w:rFonts w:hint="default" w:ascii="ＭＳ 明朝" w:hAnsi="ＭＳ 明朝"/>
                <w:color w:val="auto"/>
              </w:rPr>
            </w:pPr>
            <w:r>
              <w:rPr>
                <w:rFonts w:hint="eastAsia" w:ascii="ＭＳ 明朝" w:hAnsi="ＭＳ 明朝"/>
                <w:color w:val="auto"/>
              </w:rPr>
              <w:t>秋</w:t>
            </w: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r>
              <w:rPr>
                <w:rFonts w:hint="eastAsia" w:ascii="ＭＳ 明朝" w:hAnsi="ＭＳ 明朝" w:eastAsia="ＭＳ 明朝"/>
                <w:color w:val="auto"/>
                <w:spacing w:val="0"/>
                <w:sz w:val="20"/>
              </w:rPr>
              <w:t>△</w:t>
            </w: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0"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c>
          <w:tcPr>
            <w:tcW w:w="681" w:type="dxa"/>
            <w:vAlign w:val="center"/>
          </w:tcPr>
          <w:p>
            <w:pPr>
              <w:pStyle w:val="15"/>
              <w:spacing w:before="115" w:beforeLines="0" w:beforeAutospacing="0" w:line="225" w:lineRule="exact"/>
              <w:jc w:val="center"/>
              <w:rPr>
                <w:rFonts w:hint="default" w:ascii="ＭＳ 明朝" w:hAnsi="ＭＳ 明朝" w:eastAsia="ＭＳ 明朝"/>
                <w:color w:val="auto"/>
                <w:spacing w:val="0"/>
                <w:sz w:val="20"/>
              </w:rPr>
            </w:pPr>
          </w:p>
        </w:tc>
      </w:tr>
    </w:tbl>
    <w:p>
      <w:pPr>
        <w:pStyle w:val="0"/>
        <w:rPr>
          <w:rFonts w:hint="default" w:ascii="ＭＳ 明朝" w:hAnsi="ＭＳ 明朝"/>
          <w:color w:val="auto"/>
        </w:rPr>
      </w:pPr>
      <w:r>
        <w:rPr>
          <w:rFonts w:hint="eastAsia" w:ascii="ＭＳ 明朝" w:hAnsi="ＭＳ 明朝"/>
          <w:color w:val="auto"/>
        </w:rPr>
        <w:t>　△：つる切り・除伐</w:t>
      </w:r>
    </w:p>
    <w:p>
      <w:pPr>
        <w:pStyle w:val="0"/>
        <w:ind w:firstLine="210" w:firstLineChars="100"/>
        <w:rPr>
          <w:rFonts w:hint="default" w:ascii="ＭＳ 明朝" w:hAnsi="ＭＳ 明朝"/>
          <w:color w:val="auto"/>
        </w:rPr>
      </w:pPr>
      <w:r>
        <w:rPr>
          <w:rFonts w:hint="eastAsia" w:ascii="ＭＳ 明朝" w:hAnsi="ＭＳ 明朝"/>
          <w:color w:val="auto"/>
        </w:rPr>
        <w:t>※カラマツにはグイマツとの交配種を含む。</w:t>
      </w:r>
    </w:p>
    <w:p>
      <w:pPr>
        <w:pStyle w:val="0"/>
        <w:ind w:firstLine="210" w:firstLineChars="1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その他間伐及び保育の基準</w:t>
      </w:r>
    </w:p>
    <w:p>
      <w:pPr>
        <w:pStyle w:val="0"/>
        <w:ind w:left="420" w:leftChars="200" w:firstLine="210" w:firstLineChars="100"/>
        <w:rPr>
          <w:rFonts w:hint="default" w:ascii="ＭＳ 明朝" w:hAnsi="ＭＳ 明朝"/>
          <w:color w:val="auto"/>
        </w:rPr>
      </w:pPr>
      <w:r>
        <w:rPr>
          <w:rFonts w:hint="eastAsia" w:ascii="ＭＳ 明朝" w:hAnsi="ＭＳ 明朝"/>
          <w:color w:val="auto"/>
        </w:rPr>
        <w:t>該当なし</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４　その他必要な事項</w:t>
      </w:r>
    </w:p>
    <w:p>
      <w:pPr>
        <w:pStyle w:val="0"/>
        <w:ind w:left="210" w:leftChars="100" w:firstLine="210" w:firstLineChars="100"/>
        <w:rPr>
          <w:rFonts w:hint="default" w:ascii="ＭＳ 明朝" w:hAnsi="ＭＳ 明朝"/>
          <w:color w:val="auto"/>
        </w:rPr>
      </w:pPr>
      <w:r>
        <w:rPr>
          <w:rFonts w:hint="eastAsia" w:ascii="ＭＳ 明朝" w:hAnsi="ＭＳ 明朝"/>
          <w:color w:val="auto"/>
        </w:rPr>
        <w:t>木材等生産林においては、森林の健全性を確保し利用価値の向上を図るため、適切な間伐及び保育を実施することとします。特に枝打ちについては、生産目標及び立木の生育状況に応じて適切な時期及び枝打ち高により積極的に行うこととします。</w:t>
      </w:r>
    </w:p>
    <w:p>
      <w:pPr>
        <w:pStyle w:val="0"/>
        <w:ind w:left="210" w:leftChars="100" w:firstLine="210" w:firstLineChars="100"/>
        <w:rPr>
          <w:rFonts w:hint="default" w:ascii="ＭＳ 明朝" w:hAnsi="ＭＳ 明朝"/>
          <w:color w:val="auto"/>
        </w:rPr>
      </w:pPr>
      <w:r>
        <w:rPr>
          <w:rFonts w:hint="eastAsia" w:ascii="ＭＳ 明朝" w:hAnsi="ＭＳ 明朝"/>
          <w:color w:val="auto"/>
        </w:rPr>
        <w:t>また、保育コストの低減を図り、労働災害の防止に資するため</w:t>
      </w:r>
      <w:bookmarkStart w:id="0" w:name="_GoBack"/>
      <w:bookmarkEnd w:id="0"/>
      <w:r>
        <w:rPr>
          <w:rFonts w:hint="eastAsia" w:ascii="ＭＳ 明朝" w:hAnsi="ＭＳ 明朝"/>
          <w:color w:val="auto"/>
        </w:rPr>
        <w:t>、緩傾斜地など機械による作業に適した条件にある森林については、高性能林業機械の導入や列状間伐を推進することとします。</w:t>
      </w:r>
    </w:p>
    <w:p>
      <w:pPr>
        <w:pStyle w:val="0"/>
        <w:ind w:left="420" w:leftChars="200" w:firstLine="210" w:firstLineChars="1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第４　公益的機能別施業森林の整備等の森林の整備に関する事項</w:t>
      </w:r>
    </w:p>
    <w:p>
      <w:pPr>
        <w:pStyle w:val="0"/>
        <w:rPr>
          <w:rFonts w:hint="default" w:ascii="ＭＳ 明朝" w:hAnsi="ＭＳ 明朝"/>
          <w:color w:val="auto"/>
        </w:rPr>
      </w:pPr>
      <w:r>
        <w:rPr>
          <w:rFonts w:hint="eastAsia" w:ascii="ＭＳ 明朝" w:hAnsi="ＭＳ 明朝"/>
          <w:color w:val="auto"/>
        </w:rPr>
        <w:t>１　公益的機能別施業森林の区域及び当該区域内における施業の方法</w:t>
      </w:r>
    </w:p>
    <w:p>
      <w:pPr>
        <w:pStyle w:val="0"/>
        <w:ind w:left="210" w:leftChars="-100" w:hanging="420" w:hangingChars="200"/>
        <w:rPr>
          <w:rFonts w:hint="default" w:ascii="ＭＳ 明朝" w:hAnsi="ＭＳ 明朝"/>
          <w:color w:val="auto"/>
        </w:rPr>
      </w:pPr>
      <w:r>
        <w:rPr>
          <w:rFonts w:hint="eastAsia" w:ascii="ＭＳ 明朝" w:hAnsi="ＭＳ 明朝"/>
          <w:color w:val="auto"/>
        </w:rPr>
        <w:t>　　　公益的機能別施業森林は、森林の有する公益的機能の維持増進を特に図るための施業を積極的かつ計画的に推進すべき森林で、その区域及び当該区域内における森林施業の方法は次のとおりです。</w:t>
      </w:r>
    </w:p>
    <w:p>
      <w:pPr>
        <w:pStyle w:val="0"/>
        <w:spacing w:line="320" w:lineRule="exact"/>
        <w:ind w:firstLine="210" w:firstLineChars="100"/>
        <w:rPr>
          <w:rFonts w:hint="default" w:ascii="ＭＳ 明朝" w:hAnsi="ＭＳ 明朝"/>
          <w:color w:val="auto"/>
        </w:rPr>
      </w:pPr>
      <w:r>
        <w:rPr>
          <w:rFonts w:hint="eastAsia" w:ascii="ＭＳ 明朝" w:hAnsi="ＭＳ 明朝"/>
          <w:color w:val="auto"/>
        </w:rPr>
        <w:t>（１）　水源の</w:t>
      </w:r>
      <w:r>
        <w:rPr>
          <w:rFonts w:hint="eastAsia" w:ascii="ＭＳ 明朝" w:hAnsi="ＭＳ 明朝"/>
          <w:color w:val="auto"/>
        </w:rPr>
        <w:fldChar w:fldCharType="begin"/>
      </w:r>
      <w:r>
        <w:rPr>
          <w:rFonts w:hint="eastAsia" w:ascii="ＭＳ 明朝" w:hAnsi="ＭＳ 明朝"/>
          <w:color w:val="auto"/>
        </w:rPr>
        <w:instrText>EQ \* jc1 \* hps10 \o\ad(\s\up 9(</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rPr>
        <w:instrText>),</w:instrText>
      </w:r>
      <w:r>
        <w:rPr>
          <w:rFonts w:hint="eastAsia" w:ascii="ＭＳ 明朝" w:hAnsi="ＭＳ 明朝"/>
          <w:color w:val="auto"/>
        </w:rPr>
        <w:instrText>涵</w:instrText>
      </w:r>
      <w:r>
        <w:rPr>
          <w:rFonts w:hint="eastAsia" w:ascii="ＭＳ 明朝" w:hAnsi="ＭＳ 明朝"/>
          <w:color w:val="auto"/>
        </w:rPr>
        <w:instrText>)</w:instrText>
      </w:r>
      <w:r>
        <w:rPr>
          <w:rFonts w:hint="eastAsia" w:ascii="ＭＳ 明朝" w:hAnsi="ＭＳ 明朝"/>
          <w:color w:val="auto"/>
        </w:rPr>
        <w:fldChar w:fldCharType="end"/>
      </w:r>
      <w:r>
        <w:rPr>
          <w:rFonts w:hint="eastAsia" w:ascii="ＭＳ 明朝" w:hAnsi="ＭＳ 明朝"/>
          <w:color w:val="auto"/>
        </w:rPr>
        <w:t>養の機能の維持増進を図るための森林施業を推進すべき森林（水源</w:t>
      </w:r>
      <w:r>
        <w:rPr>
          <w:rFonts w:hint="eastAsia" w:ascii="ＭＳ 明朝" w:hAnsi="ＭＳ 明朝"/>
          <w:color w:val="auto"/>
        </w:rPr>
        <w:fldChar w:fldCharType="begin"/>
      </w:r>
      <w:r>
        <w:rPr>
          <w:rFonts w:hint="eastAsia" w:ascii="ＭＳ 明朝" w:hAnsi="ＭＳ 明朝"/>
          <w:color w:val="auto"/>
        </w:rPr>
        <w:instrText>EQ \* jc1 \* hps10 \o\ad(\s\up 9(</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rPr>
        <w:instrText>),</w:instrText>
      </w:r>
      <w:r>
        <w:rPr>
          <w:rFonts w:hint="eastAsia" w:ascii="ＭＳ 明朝" w:hAnsi="ＭＳ 明朝"/>
          <w:color w:val="auto"/>
        </w:rPr>
        <w:instrText>涵</w:instrText>
      </w:r>
      <w:r>
        <w:rPr>
          <w:rFonts w:hint="eastAsia" w:ascii="ＭＳ 明朝" w:hAnsi="ＭＳ 明朝"/>
          <w:color w:val="auto"/>
        </w:rPr>
        <w:instrText>)</w:instrText>
      </w:r>
      <w:r>
        <w:rPr>
          <w:rFonts w:hint="eastAsia" w:ascii="ＭＳ 明朝" w:hAnsi="ＭＳ 明朝"/>
          <w:color w:val="auto"/>
        </w:rPr>
        <w:fldChar w:fldCharType="end"/>
      </w:r>
      <w:r>
        <w:rPr>
          <w:rFonts w:hint="eastAsia" w:ascii="ＭＳ 明朝" w:hAnsi="ＭＳ 明朝"/>
          <w:color w:val="auto"/>
        </w:rPr>
        <w:t>養林）</w:t>
      </w:r>
    </w:p>
    <w:p>
      <w:pPr>
        <w:pStyle w:val="0"/>
        <w:ind w:firstLine="420" w:firstLineChars="200"/>
        <w:rPr>
          <w:rFonts w:hint="default" w:ascii="ＭＳ 明朝" w:hAnsi="ＭＳ 明朝"/>
          <w:color w:val="auto"/>
        </w:rPr>
      </w:pPr>
      <w:r>
        <w:rPr>
          <w:rFonts w:hint="eastAsia" w:ascii="ＭＳ 明朝" w:hAnsi="ＭＳ 明朝"/>
          <w:color w:val="auto"/>
        </w:rPr>
        <w:t>ア　区域の設定</w:t>
      </w:r>
    </w:p>
    <w:p>
      <w:pPr>
        <w:pStyle w:val="0"/>
        <w:spacing w:line="320" w:lineRule="exact"/>
        <w:ind w:left="630" w:leftChars="300" w:firstLine="210" w:firstLineChars="100"/>
        <w:rPr>
          <w:rFonts w:hint="default" w:ascii="ＭＳ 明朝" w:hAnsi="ＭＳ 明朝"/>
          <w:color w:val="auto"/>
        </w:rPr>
      </w:pPr>
      <w:r>
        <w:rPr>
          <w:rFonts w:hint="eastAsia" w:ascii="ＭＳ 明朝" w:hAnsi="ＭＳ 明朝"/>
          <w:color w:val="auto"/>
        </w:rPr>
        <w:t>水</w:t>
      </w:r>
      <w:r>
        <w:rPr>
          <w:rFonts w:hint="eastAsia" w:ascii="ＭＳ 明朝" w:hAnsi="ＭＳ 明朝"/>
          <w:color w:val="000000" w:themeColor="text1"/>
          <w:u w:val="none"/>
        </w:rPr>
        <w:t>源</w:t>
      </w:r>
      <w:r>
        <w:rPr>
          <w:rFonts w:hint="eastAsia" w:ascii="ＭＳ 明朝" w:hAnsi="ＭＳ 明朝"/>
          <w:color w:val="000000" w:themeColor="text1"/>
          <w:u w:val="none" w:color="auto"/>
        </w:rPr>
        <w:t>かん</w:t>
      </w:r>
      <w:r>
        <w:rPr>
          <w:rFonts w:hint="eastAsia" w:ascii="ＭＳ 明朝" w:hAnsi="ＭＳ 明朝"/>
          <w:color w:val="000000" w:themeColor="text1"/>
          <w:u w:val="none"/>
        </w:rPr>
        <w:t>養</w:t>
      </w:r>
      <w:r>
        <w:rPr>
          <w:rFonts w:hint="eastAsia" w:ascii="ＭＳ 明朝" w:hAnsi="ＭＳ 明朝"/>
          <w:color w:val="auto"/>
        </w:rPr>
        <w:t>保安林及び干害防備保安林、ダム集水区域や主要な河川の上流に位置する水源地周辺の森林、地域の用水源として重要なため池、湧水地、渓流等の周辺に存する森林、水源</w:t>
      </w:r>
      <w:r>
        <w:rPr>
          <w:rFonts w:hint="eastAsia" w:ascii="ＭＳ 明朝" w:hAnsi="ＭＳ 明朝"/>
          <w:color w:val="auto"/>
        </w:rPr>
        <w:fldChar w:fldCharType="begin"/>
      </w:r>
      <w:r>
        <w:rPr>
          <w:rFonts w:hint="eastAsia" w:ascii="ＭＳ 明朝" w:hAnsi="ＭＳ 明朝"/>
          <w:color w:val="auto"/>
        </w:rPr>
        <w:instrText>EQ \* jc1 \* hps10 \o\ad(\s\up 9(</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rPr>
        <w:instrText>),</w:instrText>
      </w:r>
      <w:r>
        <w:rPr>
          <w:rFonts w:hint="eastAsia" w:ascii="ＭＳ 明朝" w:hAnsi="ＭＳ 明朝"/>
          <w:color w:val="auto"/>
        </w:rPr>
        <w:instrText>涵</w:instrText>
      </w:r>
      <w:r>
        <w:rPr>
          <w:rFonts w:hint="eastAsia" w:ascii="ＭＳ 明朝" w:hAnsi="ＭＳ 明朝"/>
          <w:color w:val="auto"/>
        </w:rPr>
        <w:instrText>)</w:instrText>
      </w:r>
      <w:r>
        <w:rPr>
          <w:rFonts w:hint="eastAsia" w:ascii="ＭＳ 明朝" w:hAnsi="ＭＳ 明朝"/>
          <w:color w:val="auto"/>
        </w:rPr>
        <w:fldChar w:fldCharType="end"/>
      </w:r>
      <w:r>
        <w:rPr>
          <w:rFonts w:hint="eastAsia" w:ascii="ＭＳ 明朝" w:hAnsi="ＭＳ 明朝"/>
          <w:color w:val="auto"/>
        </w:rPr>
        <w:t>養機能の評価区分が高い森林など、水源の</w:t>
      </w:r>
      <w:r>
        <w:rPr>
          <w:rFonts w:hint="eastAsia" w:ascii="ＭＳ 明朝" w:hAnsi="ＭＳ 明朝"/>
          <w:color w:val="auto"/>
        </w:rPr>
        <w:fldChar w:fldCharType="begin"/>
      </w:r>
      <w:r>
        <w:rPr>
          <w:rFonts w:hint="eastAsia" w:ascii="ＭＳ 明朝" w:hAnsi="ＭＳ 明朝"/>
          <w:color w:val="auto"/>
        </w:rPr>
        <w:instrText>EQ \* jc1 \* hps10 \o\ad(\s\up 9(</w:instrText>
      </w:r>
      <w:r>
        <w:rPr>
          <w:rFonts w:hint="eastAsia" w:ascii="ＭＳ 明朝" w:hAnsi="ＭＳ 明朝"/>
          <w:color w:val="auto"/>
          <w:sz w:val="10"/>
        </w:rPr>
        <w:instrText>か</w:instrText>
      </w:r>
      <w:r>
        <w:rPr>
          <w:rFonts w:hint="eastAsia" w:ascii="ＭＳ 明朝" w:hAnsi="ＭＳ 明朝"/>
          <w:color w:val="auto"/>
          <w:sz w:val="10"/>
        </w:rPr>
        <w:instrText>ん</w:instrText>
      </w:r>
      <w:r>
        <w:rPr>
          <w:rFonts w:hint="eastAsia" w:ascii="ＭＳ 明朝" w:hAnsi="ＭＳ 明朝"/>
          <w:color w:val="auto"/>
        </w:rPr>
        <w:instrText>),</w:instrText>
      </w:r>
      <w:r>
        <w:rPr>
          <w:rFonts w:hint="eastAsia" w:ascii="ＭＳ 明朝" w:hAnsi="ＭＳ 明朝"/>
          <w:color w:val="auto"/>
        </w:rPr>
        <w:instrText>涵</w:instrText>
      </w:r>
      <w:r>
        <w:rPr>
          <w:rFonts w:hint="eastAsia" w:ascii="ＭＳ 明朝" w:hAnsi="ＭＳ 明朝"/>
          <w:color w:val="auto"/>
        </w:rPr>
        <w:instrText>)</w:instrText>
      </w:r>
      <w:r>
        <w:rPr>
          <w:rFonts w:hint="eastAsia" w:ascii="ＭＳ 明朝" w:hAnsi="ＭＳ 明朝"/>
          <w:color w:val="auto"/>
        </w:rPr>
        <w:fldChar w:fldCharType="end"/>
      </w:r>
      <w:r>
        <w:rPr>
          <w:rFonts w:hint="eastAsia" w:ascii="ＭＳ 明朝" w:hAnsi="ＭＳ 明朝"/>
          <w:color w:val="auto"/>
        </w:rPr>
        <w:t>養の機能の維持増進を図る森林を別表１のとおり定めます。</w:t>
      </w:r>
    </w:p>
    <w:p>
      <w:pPr>
        <w:pStyle w:val="0"/>
        <w:ind w:firstLine="420" w:firstLineChars="200"/>
        <w:rPr>
          <w:rFonts w:hint="default" w:ascii="ＭＳ 明朝" w:hAnsi="ＭＳ 明朝"/>
          <w:color w:val="auto"/>
        </w:rPr>
      </w:pPr>
      <w:r>
        <w:rPr>
          <w:rFonts w:hint="eastAsia" w:ascii="ＭＳ 明朝" w:hAnsi="ＭＳ 明朝"/>
          <w:color w:val="auto"/>
        </w:rPr>
        <w:t>イ　森林施業の方法</w:t>
      </w:r>
    </w:p>
    <w:p>
      <w:pPr>
        <w:pStyle w:val="0"/>
        <w:ind w:left="630" w:leftChars="300" w:firstLine="210" w:firstLineChars="100"/>
        <w:rPr>
          <w:rFonts w:hint="default" w:ascii="ＭＳ 明朝" w:hAnsi="ＭＳ 明朝"/>
          <w:color w:val="auto"/>
        </w:rPr>
      </w:pPr>
      <w:r>
        <w:rPr>
          <w:rFonts w:hint="eastAsia" w:ascii="ＭＳ 明朝" w:hAnsi="ＭＳ 明朝"/>
          <w:color w:val="auto"/>
        </w:rPr>
        <w:t>下層植生や樹木の根を発達させる施業を基本とし、伐期の延長、伐採に伴って発生する裸地の縮小及び分散を図ることとし、当該森林施業を推進すべき森林を別表２のとおり定めます。</w:t>
      </w:r>
    </w:p>
    <w:p>
      <w:pPr>
        <w:pStyle w:val="0"/>
        <w:ind w:left="840" w:leftChars="100" w:hanging="630" w:hangingChars="300"/>
        <w:rPr>
          <w:rFonts w:hint="default" w:ascii="ＭＳ 明朝" w:hAnsi="ＭＳ 明朝"/>
          <w:color w:val="auto"/>
        </w:rPr>
      </w:pPr>
      <w:r>
        <w:rPr>
          <w:rFonts w:hint="eastAsia" w:ascii="ＭＳ 明朝" w:hAnsi="ＭＳ 明朝"/>
          <w:color w:val="auto"/>
        </w:rPr>
        <w:t>（２）　土地に関する災害の防止及び土壌の保全の機能、快適な環境の形成の機能又は保健機能の維持増進を図るための森林施業を推進すべき森林</w:t>
      </w:r>
    </w:p>
    <w:p>
      <w:pPr>
        <w:pStyle w:val="0"/>
        <w:ind w:firstLine="210" w:firstLineChars="100"/>
        <w:rPr>
          <w:rFonts w:hint="default" w:ascii="ＭＳ 明朝" w:hAnsi="ＭＳ 明朝"/>
          <w:color w:val="auto"/>
        </w:rPr>
      </w:pPr>
      <w:r>
        <w:rPr>
          <w:rFonts w:hint="eastAsia" w:ascii="ＭＳ 明朝" w:hAnsi="ＭＳ 明朝"/>
          <w:color w:val="auto"/>
        </w:rPr>
        <w:t>　ア　区域の設定</w:t>
      </w:r>
    </w:p>
    <w:p>
      <w:pPr>
        <w:pStyle w:val="0"/>
        <w:ind w:firstLine="630" w:firstLineChars="300"/>
        <w:rPr>
          <w:rFonts w:hint="default" w:ascii="ＭＳ 明朝" w:hAnsi="ＭＳ 明朝"/>
          <w:color w:val="auto"/>
        </w:rPr>
      </w:pPr>
      <w:r>
        <w:rPr>
          <w:rFonts w:hint="eastAsia" w:ascii="ＭＳ 明朝" w:hAnsi="ＭＳ 明朝"/>
          <w:color w:val="auto"/>
        </w:rPr>
        <w:t>（ア）　土地に関する災害の防止及び土壌の保全機能の維持増進を図る森林（山地災害防止林）</w:t>
      </w:r>
    </w:p>
    <w:p>
      <w:pPr>
        <w:pStyle w:val="0"/>
        <w:ind w:left="1260" w:hanging="1260" w:hangingChars="600"/>
        <w:rPr>
          <w:rFonts w:hint="default" w:ascii="ＭＳ 明朝" w:hAnsi="ＭＳ 明朝"/>
          <w:color w:val="auto"/>
        </w:rPr>
      </w:pPr>
      <w:r>
        <w:rPr>
          <w:rFonts w:hint="eastAsia" w:ascii="ＭＳ 明朝" w:hAnsi="ＭＳ 明朝"/>
          <w:color w:val="auto"/>
        </w:rPr>
        <w:t>　　　　　　　土砂崩壊防備保安林、土砂流出防備保安林、なだれ防止保安林、落石防止保安林や砂防指定地周辺、山地災害危険地区、その他山地災害の発生により人命や人家等施設への被害の恐れのある森林、その他山地災害防止・土壌保全機能の評価区分が高い森林など、山地災害防止機能及び土壌保全機能の維持増進を図る森林を別表１のとおり定めます。</w:t>
      </w:r>
    </w:p>
    <w:p>
      <w:pPr>
        <w:pStyle w:val="0"/>
        <w:ind w:left="1260" w:leftChars="300" w:hanging="630" w:hangingChars="300"/>
        <w:rPr>
          <w:rFonts w:hint="default" w:ascii="ＭＳ 明朝" w:hAnsi="ＭＳ 明朝"/>
          <w:color w:val="auto"/>
        </w:rPr>
      </w:pPr>
      <w:r>
        <w:rPr>
          <w:rFonts w:hint="eastAsia" w:ascii="ＭＳ 明朝" w:hAnsi="ＭＳ 明朝"/>
          <w:color w:val="auto"/>
        </w:rPr>
        <w:t>（イ）　快適な環境の形成の機能の維持増進を図る森林（農村環境保全林（更別村独自ゾーン））飛砂防備保安林、潮害防備保安林、防風保安林、防雪保安林、防霧保安林、防火保安林や騒音・粉塵等の影響を緩和する森林、その他快適環境形成機能の評価区分が高い森林など、快適な環境の形成機能の維持増進を図る森林を別表１のとおり定めます。</w:t>
      </w:r>
    </w:p>
    <w:p>
      <w:pPr>
        <w:pStyle w:val="0"/>
        <w:ind w:left="1260" w:leftChars="300" w:hanging="630" w:hangingChars="300"/>
        <w:rPr>
          <w:rFonts w:hint="default" w:ascii="ＭＳ 明朝" w:hAnsi="ＭＳ 明朝"/>
          <w:color w:val="auto"/>
        </w:rPr>
      </w:pPr>
      <w:r>
        <w:rPr>
          <w:rFonts w:hint="eastAsia" w:ascii="ＭＳ 明朝" w:hAnsi="ＭＳ 明朝"/>
          <w:color w:val="auto"/>
        </w:rPr>
        <w:t>（ウ）　保健・レクリエーション機能、文化機能及び生物多様性保全機能の維持増進を図る森林</w:t>
      </w:r>
    </w:p>
    <w:p>
      <w:pPr>
        <w:pStyle w:val="0"/>
        <w:ind w:left="1260" w:leftChars="500" w:hanging="210" w:hangingChars="100"/>
        <w:rPr>
          <w:rFonts w:hint="default" w:ascii="ＭＳ 明朝" w:hAnsi="ＭＳ 明朝"/>
          <w:color w:val="auto"/>
        </w:rPr>
      </w:pPr>
      <w:r>
        <w:rPr>
          <w:rFonts w:hint="eastAsia" w:ascii="ＭＳ 明朝" w:hAnsi="ＭＳ 明朝"/>
          <w:color w:val="auto"/>
        </w:rPr>
        <w:t>（保健・文化機能等維持林）</w:t>
      </w:r>
    </w:p>
    <w:p>
      <w:pPr>
        <w:pStyle w:val="0"/>
        <w:ind w:left="1260" w:hanging="1260" w:hangingChars="600"/>
        <w:rPr>
          <w:rFonts w:hint="default" w:ascii="ＭＳ 明朝" w:hAnsi="ＭＳ 明朝"/>
          <w:color w:val="auto"/>
        </w:rPr>
      </w:pPr>
      <w:r>
        <w:rPr>
          <w:rFonts w:hint="eastAsia" w:ascii="ＭＳ 明朝" w:hAnsi="ＭＳ 明朝"/>
          <w:color w:val="auto"/>
        </w:rPr>
        <w:t>　　　　　　　保健保安林、風致保安林、都市緑地法に規定する緑地保全地域及び特別緑地保全地区、都市計画に規定する風致地区、文化財保護法に規定する史跡、名勝、天然記念物に係る森林、キャンプ場、森林公園等の施設を伴う森林、史跡等と一体となりすぐれた自然景観等を形成する森林、その他保健文化機能の評価区分が高い森林など、保健・レクリエーション機能、文化機能及び生物多様性保全機能の維持増進を図る森林を別表１のとおり定めます。</w:t>
      </w:r>
    </w:p>
    <w:p>
      <w:pPr>
        <w:pStyle w:val="0"/>
        <w:ind w:firstLine="630" w:firstLineChars="300"/>
        <w:rPr>
          <w:rFonts w:hint="default" w:ascii="ＭＳ 明朝" w:hAnsi="ＭＳ 明朝"/>
          <w:color w:val="auto"/>
        </w:rPr>
      </w:pPr>
      <w:r>
        <w:rPr>
          <w:rFonts w:hint="eastAsia" w:ascii="ＭＳ 明朝" w:hAnsi="ＭＳ 明朝"/>
          <w:color w:val="auto"/>
        </w:rPr>
        <w:t>イ　森林施業の方法</w:t>
      </w:r>
    </w:p>
    <w:p>
      <w:pPr>
        <w:pStyle w:val="0"/>
        <w:ind w:left="840" w:leftChars="200" w:hanging="420" w:hangingChars="200"/>
        <w:rPr>
          <w:rFonts w:hint="default" w:ascii="ＭＳ 明朝" w:hAnsi="ＭＳ 明朝"/>
          <w:color w:val="auto"/>
        </w:rPr>
      </w:pPr>
      <w:r>
        <w:rPr>
          <w:rFonts w:hint="eastAsia" w:ascii="ＭＳ 明朝" w:hAnsi="ＭＳ 明朝"/>
          <w:color w:val="auto"/>
        </w:rPr>
        <w:t>　　　地形・地質等の条件を考慮した上で伐採に伴って発生する裸地の縮小並びに回避を図るとともに、天然力も活用した施業、風や騒音等の防備や大気の浄化のために有効な森林の構成の維持を図るための施業、憩いと学びの場を提供する観点からの広葉樹の導入を図る施業、美的景観の維持・形成に配慮した施業の推進を図ることとします。</w:t>
      </w:r>
    </w:p>
    <w:p>
      <w:pPr>
        <w:pStyle w:val="0"/>
        <w:tabs>
          <w:tab w:val="left" w:leader="none" w:pos="851"/>
          <w:tab w:val="left" w:leader="none" w:pos="993"/>
        </w:tabs>
        <w:ind w:left="840" w:leftChars="300" w:hanging="210" w:hangingChars="100"/>
        <w:rPr>
          <w:rFonts w:hint="default" w:ascii="ＭＳ 明朝" w:hAnsi="ＭＳ 明朝"/>
          <w:color w:val="auto"/>
        </w:rPr>
      </w:pPr>
      <w:r>
        <w:rPr>
          <w:rFonts w:hint="eastAsia" w:ascii="ＭＳ 明朝" w:hAnsi="ＭＳ 明朝"/>
          <w:color w:val="auto"/>
        </w:rPr>
        <w:t>　　公益的機能の維持増進を特に図るための施業を推進すべき森林については、択伐による複層林施業を推進すべき森林として定め、それ以外の森林については、択伐以外の方法による複層林施業を推進すべき森林として定めます。</w:t>
      </w:r>
    </w:p>
    <w:p>
      <w:pPr>
        <w:pStyle w:val="0"/>
        <w:ind w:left="840" w:leftChars="300" w:hanging="210" w:hangingChars="100"/>
        <w:rPr>
          <w:rFonts w:hint="default" w:ascii="ＭＳ 明朝" w:hAnsi="ＭＳ 明朝"/>
          <w:color w:val="auto"/>
        </w:rPr>
      </w:pPr>
      <w:r>
        <w:rPr>
          <w:rFonts w:hint="eastAsia" w:ascii="ＭＳ 明朝" w:hAnsi="ＭＳ 明朝"/>
          <w:color w:val="auto"/>
        </w:rPr>
        <w:t>　　また、適切な伐区の形状・配置等により伐採後もこれらの機能が確保できる森林については長伐期施業を推進すべき森林として定め、主伐の時期を標準伐期齢の概ね２倍以上とし、伐採に伴って発生する裸地の縮小及び分散を図ります。</w:t>
      </w:r>
    </w:p>
    <w:p>
      <w:pPr>
        <w:pStyle w:val="0"/>
        <w:ind w:left="840" w:leftChars="300" w:hanging="210" w:hangingChars="100"/>
        <w:rPr>
          <w:rFonts w:hint="default" w:ascii="ＭＳ 明朝" w:hAnsi="ＭＳ 明朝"/>
          <w:color w:val="auto"/>
        </w:rPr>
      </w:pPr>
      <w:r>
        <w:rPr>
          <w:rFonts w:hint="eastAsia" w:ascii="ＭＳ 明朝" w:hAnsi="ＭＳ 明朝"/>
          <w:color w:val="auto"/>
        </w:rPr>
        <w:t>　　なお、保健文化機能の維持増進を図るための施業を推進すべき森林のうち、特に地域独自の景観等が求められる森林については、風致の優れた森林の維持または造成のために特定の樹種の広葉樹を育成する施業を行う森林として定めます。</w:t>
      </w:r>
    </w:p>
    <w:p>
      <w:pPr>
        <w:pStyle w:val="0"/>
        <w:ind w:left="630" w:leftChars="300"/>
        <w:rPr>
          <w:rFonts w:hint="default" w:ascii="ＭＳ 明朝" w:hAnsi="ＭＳ 明朝"/>
          <w:color w:val="auto"/>
        </w:rPr>
      </w:pPr>
      <w:r>
        <w:rPr>
          <w:rFonts w:hint="eastAsia" w:ascii="ＭＳ 明朝" w:hAnsi="ＭＳ 明朝"/>
          <w:color w:val="auto"/>
        </w:rPr>
        <w:t>　　それぞれの森林の区域については別表２のとおりとします。</w:t>
      </w:r>
    </w:p>
    <w:p>
      <w:pPr>
        <w:pStyle w:val="0"/>
        <w:ind w:left="720"/>
        <w:rPr>
          <w:rFonts w:hint="default" w:ascii="ＭＳ 明朝" w:hAnsi="ＭＳ 明朝"/>
          <w:color w:val="auto"/>
        </w:rPr>
      </w:pPr>
    </w:p>
    <w:p>
      <w:pPr>
        <w:pStyle w:val="0"/>
        <w:ind w:left="210" w:hanging="210" w:hangingChars="100"/>
        <w:rPr>
          <w:rFonts w:hint="default" w:ascii="ＭＳ 明朝" w:hAnsi="ＭＳ 明朝"/>
          <w:color w:val="auto"/>
        </w:rPr>
      </w:pPr>
      <w:r>
        <w:rPr>
          <w:rFonts w:hint="eastAsia" w:ascii="ＭＳ 明朝" w:hAnsi="ＭＳ 明朝"/>
          <w:color w:val="auto"/>
        </w:rPr>
        <w:t>２　木材の生産機能の維持増進を図るための森林施業を推進すべき森林の区域及び当該区域における森林施業の方法</w:t>
      </w:r>
    </w:p>
    <w:p>
      <w:pPr>
        <w:pStyle w:val="0"/>
        <w:ind w:firstLine="210" w:firstLineChars="100"/>
        <w:rPr>
          <w:rFonts w:hint="default" w:ascii="ＭＳ 明朝" w:hAnsi="ＭＳ 明朝"/>
          <w:color w:val="auto"/>
        </w:rPr>
      </w:pPr>
      <w:r>
        <w:rPr>
          <w:rFonts w:hint="eastAsia" w:ascii="ＭＳ 明朝" w:hAnsi="ＭＳ 明朝"/>
          <w:color w:val="auto"/>
        </w:rPr>
        <w:t>（１）　区域の設定</w:t>
      </w:r>
    </w:p>
    <w:p>
      <w:pPr>
        <w:pStyle w:val="0"/>
        <w:ind w:left="840" w:leftChars="400" w:firstLine="210" w:firstLineChars="100"/>
        <w:rPr>
          <w:rFonts w:hint="default" w:ascii="ＭＳ 明朝" w:hAnsi="ＭＳ 明朝"/>
          <w:color w:val="auto"/>
        </w:rPr>
      </w:pPr>
      <w:r>
        <w:rPr>
          <w:rFonts w:hint="eastAsia" w:ascii="ＭＳ 明朝" w:hAnsi="ＭＳ 明朝"/>
          <w:color w:val="auto"/>
        </w:rPr>
        <w:t>林木の生育に適した森林、林道等の開設状況等から効率的な施業が可能な森林、木材等生産機能の評価区分が高い森林で、自然的条件等から一体として森林施業を行うことが適当と認められる森林など、木材の生産機能の維持増進を図る森林を別表１のとおり定め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このうち、林地生産力や傾斜等の自然条件、林道等や集落からの距離等の社会的条件を勘案し、森林の一体性を踏まえつつ、特に効率的な森林施業が可能な森林の区域を定めることとします。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なお、公益的機能別施業森林及び木材等生産機能の維持増進を図る森林の区域については、重複を認めるものとし、森林の有する公益的機能の発揮に支障が生じないよう定めるものとします。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また、木材等生産機能の維持増進を図る森林については、森林の有する公益的機能の発揮に留意しつつ、路網整備、森林施業の集約化・機械化等を通じた効率的な森林整備を推進することとし、多様な木材需要に応じた持続的・安定的な木材などの生産が可能となる資源構成となるよう、計画的な主伐と植栽による確実な更新に努め、特に効率的な森林施業が可能な森林の区域のうち人工林においては、原則として植栽による更新を行うこととします。</w:t>
      </w:r>
    </w:p>
    <w:p>
      <w:pPr>
        <w:pStyle w:val="0"/>
        <w:ind w:firstLine="210" w:firstLineChars="100"/>
        <w:rPr>
          <w:rFonts w:hint="default" w:ascii="ＭＳ 明朝" w:hAnsi="ＭＳ 明朝"/>
          <w:color w:val="auto"/>
        </w:rPr>
      </w:pPr>
      <w:r>
        <w:rPr>
          <w:rFonts w:hint="eastAsia" w:ascii="ＭＳ 明朝" w:hAnsi="ＭＳ 明朝"/>
          <w:color w:val="auto"/>
        </w:rPr>
        <w:t>（２）　森林施業の方法</w:t>
      </w:r>
    </w:p>
    <w:p>
      <w:pPr>
        <w:pStyle w:val="0"/>
        <w:ind w:left="840" w:leftChars="400" w:firstLine="210" w:firstLineChars="100"/>
        <w:rPr>
          <w:rFonts w:hint="default" w:ascii="ＭＳ 明朝" w:hAnsi="ＭＳ 明朝"/>
          <w:color w:val="auto"/>
        </w:rPr>
      </w:pPr>
      <w:r>
        <w:rPr>
          <w:rFonts w:hint="eastAsia" w:ascii="ＭＳ 明朝" w:hAnsi="ＭＳ 明朝"/>
          <w:color w:val="auto"/>
        </w:rPr>
        <w:t>木材等資源の効率的な循環・利用を考慮して、伐採時期の多様化を図るなどの利用目的に応じた時期で伐採することとし、人工林の主要な樹種の標準的な主伐時期については、次表を目安とします。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また、適切な造林、保育及び間伐等を推進することを基本とし、森林施業の集約化、路網整備や機械化等を通じた効率的な森林整備を推進します。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特に効率的な森林施業が可能な森林の区域のうち人工林においては、原則として植栽による更新を行うこととします。</w:t>
      </w:r>
    </w:p>
    <w:p>
      <w:pPr>
        <w:pStyle w:val="0"/>
        <w:ind w:left="720" w:firstLine="210" w:firstLineChars="100"/>
        <w:rPr>
          <w:rFonts w:hint="default" w:ascii="ＭＳ 明朝" w:hAnsi="ＭＳ 明朝"/>
          <w:color w:val="auto"/>
        </w:rPr>
      </w:pPr>
    </w:p>
    <w:tbl>
      <w:tblPr>
        <w:tblStyle w:val="11"/>
        <w:tblW w:w="8085" w:type="dxa"/>
        <w:tblInd w:w="1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8"/>
        <w:gridCol w:w="2078"/>
        <w:gridCol w:w="2078"/>
        <w:gridCol w:w="1851"/>
      </w:tblGrid>
      <w:tr>
        <w:trPr>
          <w:trHeight w:val="347" w:hRule="atLeast"/>
        </w:trPr>
        <w:tc>
          <w:tcPr>
            <w:tcW w:w="2078" w:type="dxa"/>
            <w:vAlign w:val="center"/>
          </w:tcPr>
          <w:p>
            <w:pPr>
              <w:pStyle w:val="0"/>
              <w:jc w:val="center"/>
              <w:rPr>
                <w:rFonts w:hint="default" w:ascii="ＭＳ 明朝" w:hAnsi="ＭＳ 明朝"/>
                <w:color w:val="auto"/>
              </w:rPr>
            </w:pPr>
            <w:r>
              <w:rPr>
                <w:rFonts w:hint="eastAsia" w:ascii="ＭＳ 明朝" w:hAnsi="ＭＳ 明朝"/>
                <w:color w:val="auto"/>
              </w:rPr>
              <w:t>樹種</w:t>
            </w:r>
          </w:p>
        </w:tc>
        <w:tc>
          <w:tcPr>
            <w:tcW w:w="2078" w:type="dxa"/>
            <w:vAlign w:val="center"/>
          </w:tcPr>
          <w:p>
            <w:pPr>
              <w:pStyle w:val="0"/>
              <w:jc w:val="center"/>
              <w:rPr>
                <w:rFonts w:hint="default" w:ascii="ＭＳ 明朝" w:hAnsi="ＭＳ 明朝"/>
                <w:color w:val="auto"/>
              </w:rPr>
            </w:pPr>
            <w:r>
              <w:rPr>
                <w:rFonts w:hint="eastAsia" w:ascii="ＭＳ 明朝" w:hAnsi="ＭＳ 明朝"/>
                <w:color w:val="auto"/>
              </w:rPr>
              <w:t>主伐時期</w:t>
            </w:r>
          </w:p>
        </w:tc>
        <w:tc>
          <w:tcPr>
            <w:tcW w:w="2078" w:type="dxa"/>
            <w:vAlign w:val="center"/>
          </w:tcPr>
          <w:p>
            <w:pPr>
              <w:pStyle w:val="0"/>
              <w:jc w:val="center"/>
              <w:rPr>
                <w:rFonts w:hint="default" w:ascii="ＭＳ 明朝" w:hAnsi="ＭＳ 明朝"/>
                <w:color w:val="auto"/>
              </w:rPr>
            </w:pPr>
            <w:r>
              <w:rPr>
                <w:rFonts w:hint="eastAsia" w:ascii="ＭＳ 明朝" w:hAnsi="ＭＳ 明朝"/>
                <w:color w:val="auto"/>
              </w:rPr>
              <w:t>仕立て方法</w:t>
            </w:r>
          </w:p>
        </w:tc>
        <w:tc>
          <w:tcPr>
            <w:tcW w:w="1851" w:type="dxa"/>
            <w:vAlign w:val="top"/>
          </w:tcPr>
          <w:p>
            <w:pPr>
              <w:pStyle w:val="0"/>
              <w:jc w:val="center"/>
              <w:rPr>
                <w:rFonts w:hint="default" w:ascii="ＭＳ 明朝" w:hAnsi="ＭＳ 明朝"/>
                <w:color w:val="auto"/>
              </w:rPr>
            </w:pPr>
            <w:r>
              <w:rPr>
                <w:rFonts w:hint="eastAsia" w:ascii="ＭＳ 明朝" w:hAnsi="ＭＳ 明朝"/>
                <w:color w:val="auto"/>
              </w:rPr>
              <w:t>生産目標</w:t>
            </w:r>
          </w:p>
        </w:tc>
      </w:tr>
      <w:tr>
        <w:trPr>
          <w:trHeight w:val="347" w:hRule="atLeast"/>
        </w:trPr>
        <w:tc>
          <w:tcPr>
            <w:tcW w:w="2078" w:type="dxa"/>
            <w:vAlign w:val="center"/>
          </w:tcPr>
          <w:p>
            <w:pPr>
              <w:pStyle w:val="0"/>
              <w:jc w:val="center"/>
              <w:rPr>
                <w:rFonts w:hint="default" w:ascii="ＭＳ 明朝" w:hAnsi="ＭＳ 明朝"/>
                <w:color w:val="auto"/>
              </w:rPr>
            </w:pPr>
            <w:r>
              <w:rPr>
                <w:rFonts w:hint="eastAsia" w:ascii="ＭＳ 明朝" w:hAnsi="ＭＳ 明朝"/>
                <w:color w:val="auto"/>
              </w:rPr>
              <w:t>カラマツ</w:t>
            </w:r>
          </w:p>
          <w:p>
            <w:pPr>
              <w:pStyle w:val="0"/>
              <w:rPr>
                <w:rFonts w:hint="default" w:ascii="ＭＳ 明朝" w:hAnsi="ＭＳ 明朝"/>
                <w:color w:val="auto"/>
              </w:rPr>
            </w:pPr>
            <w:r>
              <w:rPr>
                <w:rFonts w:hint="eastAsia" w:ascii="ＭＳ 明朝" w:hAnsi="ＭＳ 明朝"/>
                <w:color w:val="auto"/>
              </w:rPr>
              <w:t>【グイマツとの交配種を含む】</w:t>
            </w:r>
          </w:p>
        </w:tc>
        <w:tc>
          <w:tcPr>
            <w:tcW w:w="2078" w:type="dxa"/>
            <w:vAlign w:val="center"/>
          </w:tcPr>
          <w:p>
            <w:pPr>
              <w:pStyle w:val="0"/>
              <w:jc w:val="center"/>
              <w:rPr>
                <w:rFonts w:hint="default" w:ascii="ＭＳ 明朝" w:hAnsi="ＭＳ 明朝"/>
                <w:color w:val="auto"/>
              </w:rPr>
            </w:pPr>
            <w:r>
              <w:rPr>
                <w:rFonts w:hint="eastAsia" w:ascii="ＭＳ 明朝" w:hAnsi="ＭＳ 明朝"/>
                <w:color w:val="auto"/>
              </w:rPr>
              <w:t>50</w:t>
            </w:r>
            <w:r>
              <w:rPr>
                <w:rFonts w:hint="eastAsia" w:ascii="ＭＳ 明朝" w:hAnsi="ＭＳ 明朝"/>
                <w:color w:val="auto"/>
              </w:rPr>
              <w:t>年</w:t>
            </w:r>
          </w:p>
        </w:tc>
        <w:tc>
          <w:tcPr>
            <w:tcW w:w="2078" w:type="dxa"/>
            <w:vAlign w:val="center"/>
          </w:tcPr>
          <w:p>
            <w:pPr>
              <w:pStyle w:val="0"/>
              <w:jc w:val="center"/>
              <w:rPr>
                <w:rFonts w:hint="default" w:ascii="ＭＳ 明朝" w:hAnsi="ＭＳ 明朝"/>
                <w:color w:val="auto"/>
              </w:rPr>
            </w:pPr>
            <w:r>
              <w:rPr>
                <w:rFonts w:hint="eastAsia" w:ascii="ＭＳ 明朝" w:hAnsi="ＭＳ 明朝"/>
                <w:color w:val="auto"/>
              </w:rPr>
              <w:t>中庸仕立て</w:t>
            </w:r>
          </w:p>
        </w:tc>
        <w:tc>
          <w:tcPr>
            <w:tcW w:w="1851" w:type="dxa"/>
            <w:vAlign w:val="center"/>
          </w:tcPr>
          <w:p>
            <w:pPr>
              <w:pStyle w:val="0"/>
              <w:jc w:val="center"/>
              <w:rPr>
                <w:rFonts w:hint="default" w:ascii="ＭＳ 明朝" w:hAnsi="ＭＳ 明朝"/>
                <w:color w:val="auto"/>
              </w:rPr>
            </w:pPr>
            <w:r>
              <w:rPr>
                <w:rFonts w:hint="eastAsia" w:ascii="ＭＳ 明朝" w:hAnsi="ＭＳ 明朝"/>
                <w:color w:val="auto"/>
              </w:rPr>
              <w:t>一般材生産・</w:t>
            </w:r>
            <w:r>
              <w:rPr>
                <w:rFonts w:hint="eastAsia" w:ascii="ＭＳ 明朝" w:hAnsi="ＭＳ 明朝"/>
                <w:color w:val="auto"/>
              </w:rPr>
              <w:t>38cm</w:t>
            </w:r>
          </w:p>
        </w:tc>
      </w:tr>
      <w:tr>
        <w:trPr>
          <w:trHeight w:val="347" w:hRule="atLeast"/>
        </w:trPr>
        <w:tc>
          <w:tcPr>
            <w:tcW w:w="2078" w:type="dxa"/>
            <w:vAlign w:val="center"/>
          </w:tcPr>
          <w:p>
            <w:pPr>
              <w:pStyle w:val="0"/>
              <w:jc w:val="center"/>
              <w:rPr>
                <w:rFonts w:hint="default" w:ascii="ＭＳ 明朝" w:hAnsi="ＭＳ 明朝"/>
                <w:color w:val="auto"/>
              </w:rPr>
            </w:pPr>
            <w:r>
              <w:rPr>
                <w:rFonts w:hint="eastAsia" w:ascii="ＭＳ 明朝" w:hAnsi="ＭＳ 明朝"/>
                <w:color w:val="auto"/>
              </w:rPr>
              <w:t>トドマツ</w:t>
            </w:r>
          </w:p>
        </w:tc>
        <w:tc>
          <w:tcPr>
            <w:tcW w:w="2078" w:type="dxa"/>
            <w:vAlign w:val="center"/>
          </w:tcPr>
          <w:p>
            <w:pPr>
              <w:pStyle w:val="0"/>
              <w:jc w:val="center"/>
              <w:rPr>
                <w:rFonts w:hint="default" w:ascii="ＭＳ 明朝" w:hAnsi="ＭＳ 明朝"/>
                <w:color w:val="auto"/>
              </w:rPr>
            </w:pPr>
            <w:r>
              <w:rPr>
                <w:rFonts w:hint="eastAsia" w:ascii="ＭＳ 明朝" w:hAnsi="ＭＳ 明朝"/>
                <w:color w:val="auto"/>
              </w:rPr>
              <w:t>50</w:t>
            </w:r>
            <w:r>
              <w:rPr>
                <w:rFonts w:hint="eastAsia" w:ascii="ＭＳ 明朝" w:hAnsi="ＭＳ 明朝"/>
                <w:color w:val="auto"/>
              </w:rPr>
              <w:t>年</w:t>
            </w:r>
          </w:p>
        </w:tc>
        <w:tc>
          <w:tcPr>
            <w:tcW w:w="2078" w:type="dxa"/>
            <w:vAlign w:val="center"/>
          </w:tcPr>
          <w:p>
            <w:pPr>
              <w:pStyle w:val="0"/>
              <w:jc w:val="center"/>
              <w:rPr>
                <w:rFonts w:hint="default" w:ascii="ＭＳ 明朝" w:hAnsi="ＭＳ 明朝"/>
                <w:color w:val="auto"/>
              </w:rPr>
            </w:pPr>
            <w:r>
              <w:rPr>
                <w:rFonts w:hint="eastAsia" w:ascii="ＭＳ 明朝" w:hAnsi="ＭＳ 明朝"/>
                <w:color w:val="auto"/>
              </w:rPr>
              <w:t>中庸仕立て</w:t>
            </w:r>
          </w:p>
        </w:tc>
        <w:tc>
          <w:tcPr>
            <w:tcW w:w="1851" w:type="dxa"/>
            <w:vAlign w:val="top"/>
          </w:tcPr>
          <w:p>
            <w:pPr>
              <w:pStyle w:val="0"/>
              <w:jc w:val="center"/>
              <w:rPr>
                <w:rFonts w:hint="default" w:ascii="ＭＳ 明朝" w:hAnsi="ＭＳ 明朝"/>
                <w:color w:val="auto"/>
              </w:rPr>
            </w:pPr>
            <w:r>
              <w:rPr>
                <w:rFonts w:hint="eastAsia" w:ascii="ＭＳ 明朝" w:hAnsi="ＭＳ 明朝"/>
                <w:color w:val="auto"/>
              </w:rPr>
              <w:t>一般材生産・</w:t>
            </w:r>
            <w:r>
              <w:rPr>
                <w:rFonts w:hint="eastAsia" w:ascii="ＭＳ 明朝" w:hAnsi="ＭＳ 明朝"/>
                <w:color w:val="auto"/>
              </w:rPr>
              <w:t>30cm</w:t>
            </w:r>
          </w:p>
        </w:tc>
      </w:tr>
      <w:tr>
        <w:trPr>
          <w:trHeight w:val="347" w:hRule="atLeast"/>
        </w:trPr>
        <w:tc>
          <w:tcPr>
            <w:tcW w:w="2078" w:type="dxa"/>
            <w:vAlign w:val="center"/>
          </w:tcPr>
          <w:p>
            <w:pPr>
              <w:pStyle w:val="0"/>
              <w:jc w:val="center"/>
              <w:rPr>
                <w:rFonts w:hint="default" w:ascii="ＭＳ 明朝" w:hAnsi="ＭＳ 明朝"/>
                <w:color w:val="auto"/>
              </w:rPr>
            </w:pPr>
            <w:r>
              <w:rPr>
                <w:rFonts w:hint="eastAsia" w:ascii="ＭＳ 明朝" w:hAnsi="ＭＳ 明朝"/>
                <w:color w:val="auto"/>
              </w:rPr>
              <w:t>アカエゾマツ</w:t>
            </w:r>
          </w:p>
        </w:tc>
        <w:tc>
          <w:tcPr>
            <w:tcW w:w="2078" w:type="dxa"/>
            <w:vAlign w:val="center"/>
          </w:tcPr>
          <w:p>
            <w:pPr>
              <w:pStyle w:val="0"/>
              <w:jc w:val="center"/>
              <w:rPr>
                <w:rFonts w:hint="default" w:ascii="ＭＳ 明朝" w:hAnsi="ＭＳ 明朝"/>
                <w:color w:val="auto"/>
              </w:rPr>
            </w:pPr>
            <w:r>
              <w:rPr>
                <w:rFonts w:hint="eastAsia" w:ascii="ＭＳ 明朝" w:hAnsi="ＭＳ 明朝"/>
                <w:color w:val="auto"/>
              </w:rPr>
              <w:t>70</w:t>
            </w:r>
            <w:r>
              <w:rPr>
                <w:rFonts w:hint="eastAsia" w:ascii="ＭＳ 明朝" w:hAnsi="ＭＳ 明朝"/>
                <w:color w:val="auto"/>
              </w:rPr>
              <w:t>年</w:t>
            </w:r>
          </w:p>
        </w:tc>
        <w:tc>
          <w:tcPr>
            <w:tcW w:w="2078" w:type="dxa"/>
            <w:vAlign w:val="center"/>
          </w:tcPr>
          <w:p>
            <w:pPr>
              <w:pStyle w:val="0"/>
              <w:jc w:val="center"/>
              <w:rPr>
                <w:rFonts w:hint="default" w:ascii="ＭＳ 明朝" w:hAnsi="ＭＳ 明朝"/>
                <w:color w:val="auto"/>
              </w:rPr>
            </w:pPr>
            <w:r>
              <w:rPr>
                <w:rFonts w:hint="eastAsia" w:ascii="ＭＳ 明朝" w:hAnsi="ＭＳ 明朝"/>
                <w:color w:val="auto"/>
              </w:rPr>
              <w:t>中庸仕立て</w:t>
            </w:r>
          </w:p>
        </w:tc>
        <w:tc>
          <w:tcPr>
            <w:tcW w:w="1851" w:type="dxa"/>
            <w:vAlign w:val="top"/>
          </w:tcPr>
          <w:p>
            <w:pPr>
              <w:pStyle w:val="0"/>
              <w:jc w:val="center"/>
              <w:rPr>
                <w:rFonts w:hint="default" w:ascii="ＭＳ 明朝" w:hAnsi="ＭＳ 明朝"/>
                <w:color w:val="auto"/>
              </w:rPr>
            </w:pPr>
            <w:r>
              <w:rPr>
                <w:rFonts w:hint="eastAsia" w:ascii="ＭＳ 明朝" w:hAnsi="ＭＳ 明朝"/>
                <w:color w:val="auto"/>
              </w:rPr>
              <w:t>一般材生産・</w:t>
            </w:r>
            <w:r>
              <w:rPr>
                <w:rFonts w:hint="eastAsia" w:ascii="ＭＳ 明朝" w:hAnsi="ＭＳ 明朝"/>
                <w:color w:val="auto"/>
              </w:rPr>
              <w:t>30cm</w:t>
            </w:r>
          </w:p>
        </w:tc>
      </w:tr>
    </w:tbl>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３　その他必要な事項</w:t>
      </w:r>
    </w:p>
    <w:tbl>
      <w:tblPr>
        <w:tblStyle w:val="23"/>
        <w:tblW w:w="9568" w:type="dxa"/>
        <w:tblInd w:w="567" w:type="dxa"/>
        <w:tblLayout w:type="fixed"/>
        <w:tblLook w:firstRow="1" w:lastRow="0" w:firstColumn="1" w:lastColumn="0" w:noHBand="0" w:noVBand="1" w:val="04A0"/>
      </w:tblPr>
      <w:tblGrid>
        <w:gridCol w:w="921"/>
        <w:gridCol w:w="954"/>
        <w:gridCol w:w="3827"/>
        <w:gridCol w:w="3866"/>
      </w:tblGrid>
      <w:tr>
        <w:trPr/>
        <w:tc>
          <w:tcPr>
            <w:tcW w:w="1875" w:type="dxa"/>
            <w:gridSpan w:val="2"/>
            <w:vAlign w:val="top"/>
          </w:tcPr>
          <w:p>
            <w:pPr>
              <w:pStyle w:val="0"/>
              <w:widowControl w:val="1"/>
              <w:jc w:val="left"/>
              <w:rPr>
                <w:rFonts w:hint="default" w:asciiTheme="minorEastAsia" w:hAnsiTheme="minorEastAsia" w:eastAsiaTheme="minorEastAsia"/>
                <w:color w:val="auto"/>
                <w:sz w:val="20"/>
                <w:u w:val="single" w:color="auto"/>
              </w:rPr>
            </w:pPr>
            <w:r>
              <w:rPr>
                <w:rFonts w:hint="eastAsia" w:asciiTheme="minorEastAsia" w:hAnsiTheme="minorEastAsia" w:eastAsiaTheme="minorEastAsia"/>
                <w:color w:val="auto"/>
                <w:sz w:val="20"/>
                <w:u w:val="none" w:color="auto"/>
              </w:rPr>
              <w:t>森林の区域</w:t>
            </w:r>
          </w:p>
        </w:tc>
        <w:tc>
          <w:tcPr>
            <w:tcW w:w="3827" w:type="dxa"/>
            <w:vAlign w:val="top"/>
          </w:tcPr>
          <w:p>
            <w:pPr>
              <w:pStyle w:val="0"/>
              <w:widowControl w:val="1"/>
              <w:jc w:val="left"/>
              <w:rPr>
                <w:rFonts w:hint="default" w:asciiTheme="minorEastAsia" w:hAnsiTheme="minorEastAsia" w:eastAsiaTheme="minorEastAsia"/>
                <w:color w:val="auto"/>
                <w:sz w:val="20"/>
                <w:u w:val="single" w:color="auto"/>
              </w:rPr>
            </w:pPr>
            <w:r>
              <w:rPr>
                <w:rFonts w:hint="eastAsia" w:asciiTheme="minorEastAsia" w:hAnsiTheme="minorEastAsia" w:eastAsiaTheme="minorEastAsia"/>
                <w:color w:val="auto"/>
                <w:sz w:val="20"/>
                <w:u w:val="none" w:color="auto"/>
              </w:rPr>
              <w:t>区域の設定</w:t>
            </w:r>
          </w:p>
        </w:tc>
        <w:tc>
          <w:tcPr>
            <w:tcW w:w="3866" w:type="dxa"/>
            <w:vAlign w:val="top"/>
          </w:tcPr>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施業の方法</w:t>
            </w:r>
          </w:p>
        </w:tc>
      </w:tr>
      <w:tr>
        <w:trPr/>
        <w:tc>
          <w:tcPr>
            <w:tcW w:w="1875" w:type="dxa"/>
            <w:gridSpan w:val="2"/>
            <w:vAlign w:val="top"/>
          </w:tcPr>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水資源保全ゾーン</w:t>
            </w:r>
          </w:p>
          <w:p>
            <w:pPr>
              <w:pStyle w:val="0"/>
              <w:widowControl w:val="1"/>
              <w:jc w:val="left"/>
              <w:rPr>
                <w:rFonts w:hint="default" w:asciiTheme="minorEastAsia" w:hAnsiTheme="minorEastAsia" w:eastAsiaTheme="minorEastAsia"/>
                <w:color w:val="auto"/>
                <w:sz w:val="20"/>
                <w:u w:val="single" w:color="auto"/>
              </w:rPr>
            </w:pPr>
            <w:r>
              <w:rPr>
                <w:rFonts w:hint="eastAsia" w:asciiTheme="minorEastAsia" w:hAnsiTheme="minorEastAsia" w:eastAsiaTheme="minorEastAsia"/>
                <w:color w:val="auto"/>
                <w:sz w:val="20"/>
                <w:u w:val="none" w:color="auto"/>
              </w:rPr>
              <w:t>（設定なし）</w:t>
            </w:r>
          </w:p>
        </w:tc>
        <w:tc>
          <w:tcPr>
            <w:tcW w:w="3827" w:type="dxa"/>
            <w:vAlign w:val="top"/>
          </w:tcPr>
          <w:p>
            <w:pPr>
              <w:pStyle w:val="0"/>
              <w:widowControl w:val="1"/>
              <w:ind w:firstLine="200" w:firstLineChars="100"/>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水源</w:t>
            </w:r>
            <w:r>
              <w:rPr>
                <w:rFonts w:hint="eastAsia" w:asciiTheme="minorEastAsia" w:hAnsiTheme="minorEastAsia" w:eastAsiaTheme="minorEastAsia"/>
                <w:color w:val="auto"/>
                <w:sz w:val="20"/>
                <w:u w:val="none" w:color="auto"/>
              </w:rPr>
              <w:fldChar w:fldCharType="begin"/>
            </w:r>
            <w:r>
              <w:rPr>
                <w:rFonts w:hint="eastAsia" w:asciiTheme="minorEastAsia" w:hAnsiTheme="minorEastAsia" w:eastAsiaTheme="minorEastAsia"/>
                <w:color w:val="auto"/>
                <w:sz w:val="20"/>
                <w:u w:val="none" w:color="auto"/>
              </w:rPr>
              <w:instrText>EQ \* jc2 \* hps10 \o\ad(\s\up 9(</w:instrText>
            </w:r>
            <w:r>
              <w:rPr>
                <w:rFonts w:hint="default" w:ascii="HG丸ｺﾞｼｯｸM-PRO" w:hAnsi="HG丸ｺﾞｼｯｸM-PRO" w:eastAsia="HG丸ｺﾞｼｯｸM-PRO"/>
                <w:color w:val="auto"/>
                <w:sz w:val="10"/>
              </w:rPr>
              <w:instrText>か</w:instrText>
            </w:r>
            <w:r>
              <w:rPr>
                <w:rFonts w:hint="default" w:ascii="HG丸ｺﾞｼｯｸM-PRO" w:hAnsi="HG丸ｺﾞｼｯｸM-PRO" w:eastAsia="HG丸ｺﾞｼｯｸM-PRO"/>
                <w:color w:val="auto"/>
                <w:sz w:val="10"/>
              </w:rPr>
              <w:instrText>ん</w:instrText>
            </w:r>
            <w:r>
              <w:rPr>
                <w:rFonts w:hint="eastAsia" w:asciiTheme="minorEastAsia" w:hAnsiTheme="minorEastAsia" w:eastAsiaTheme="minorEastAsia"/>
                <w:color w:val="auto"/>
                <w:sz w:val="20"/>
                <w:u w:val="none" w:color="auto"/>
              </w:rPr>
              <w:instrText>),</w:instrText>
            </w:r>
            <w:r>
              <w:rPr>
                <w:rFonts w:hint="eastAsia" w:asciiTheme="minorEastAsia" w:hAnsiTheme="minorEastAsia" w:eastAsiaTheme="minorEastAsia"/>
                <w:color w:val="auto"/>
                <w:sz w:val="20"/>
                <w:u w:val="none" w:color="auto"/>
              </w:rPr>
              <w:instrText>涵</w:instrText>
            </w:r>
            <w:r>
              <w:rPr>
                <w:rFonts w:hint="eastAsia" w:asciiTheme="minorEastAsia" w:hAnsiTheme="minorEastAsia" w:eastAsiaTheme="minorEastAsia"/>
                <w:color w:val="auto"/>
                <w:sz w:val="20"/>
                <w:u w:val="none" w:color="auto"/>
              </w:rPr>
              <w:instrText>)</w:instrText>
            </w:r>
            <w:r>
              <w:rPr>
                <w:rFonts w:hint="eastAsia" w:asciiTheme="minorEastAsia" w:hAnsiTheme="minorEastAsia" w:eastAsiaTheme="minorEastAsia"/>
                <w:color w:val="auto"/>
                <w:sz w:val="20"/>
                <w:u w:val="none" w:color="auto"/>
              </w:rPr>
              <w:fldChar w:fldCharType="end"/>
            </w:r>
            <w:r>
              <w:rPr>
                <w:rFonts w:hint="eastAsia" w:asciiTheme="minorEastAsia" w:hAnsiTheme="minorEastAsia" w:eastAsiaTheme="minorEastAsia"/>
                <w:color w:val="auto"/>
                <w:sz w:val="20"/>
                <w:u w:val="none" w:color="auto"/>
              </w:rPr>
              <w:t>養林のうち、属地的に水源</w:t>
            </w:r>
            <w:r>
              <w:rPr>
                <w:rFonts w:hint="eastAsia" w:asciiTheme="minorEastAsia" w:hAnsiTheme="minorEastAsia" w:eastAsiaTheme="minorEastAsia"/>
                <w:color w:val="auto"/>
                <w:sz w:val="20"/>
                <w:u w:val="none" w:color="auto"/>
              </w:rPr>
              <w:fldChar w:fldCharType="begin"/>
            </w:r>
            <w:r>
              <w:rPr>
                <w:rFonts w:hint="eastAsia" w:asciiTheme="minorEastAsia" w:hAnsiTheme="minorEastAsia" w:eastAsiaTheme="minorEastAsia"/>
                <w:color w:val="auto"/>
                <w:sz w:val="20"/>
                <w:u w:val="none" w:color="auto"/>
              </w:rPr>
              <w:instrText>EQ \* jc2 \* hps10 \o\ad(\s\up 9(</w:instrText>
            </w:r>
            <w:r>
              <w:rPr>
                <w:rFonts w:hint="default" w:ascii="HG丸ｺﾞｼｯｸM-PRO" w:hAnsi="HG丸ｺﾞｼｯｸM-PRO" w:eastAsia="HG丸ｺﾞｼｯｸM-PRO"/>
                <w:color w:val="auto"/>
                <w:sz w:val="10"/>
              </w:rPr>
              <w:instrText>か</w:instrText>
            </w:r>
            <w:r>
              <w:rPr>
                <w:rFonts w:hint="default" w:ascii="HG丸ｺﾞｼｯｸM-PRO" w:hAnsi="HG丸ｺﾞｼｯｸM-PRO" w:eastAsia="HG丸ｺﾞｼｯｸM-PRO"/>
                <w:color w:val="auto"/>
                <w:sz w:val="10"/>
              </w:rPr>
              <w:instrText>ん</w:instrText>
            </w:r>
            <w:r>
              <w:rPr>
                <w:rFonts w:hint="eastAsia" w:asciiTheme="minorEastAsia" w:hAnsiTheme="minorEastAsia" w:eastAsiaTheme="minorEastAsia"/>
                <w:color w:val="auto"/>
                <w:sz w:val="20"/>
                <w:u w:val="none" w:color="auto"/>
              </w:rPr>
              <w:instrText>),</w:instrText>
            </w:r>
            <w:r>
              <w:rPr>
                <w:rFonts w:hint="eastAsia" w:asciiTheme="minorEastAsia" w:hAnsiTheme="minorEastAsia" w:eastAsiaTheme="minorEastAsia"/>
                <w:color w:val="auto"/>
                <w:sz w:val="20"/>
                <w:u w:val="none" w:color="auto"/>
              </w:rPr>
              <w:instrText>涵</w:instrText>
            </w:r>
            <w:r>
              <w:rPr>
                <w:rFonts w:hint="eastAsia" w:asciiTheme="minorEastAsia" w:hAnsiTheme="minorEastAsia" w:eastAsiaTheme="minorEastAsia"/>
                <w:color w:val="auto"/>
                <w:sz w:val="20"/>
                <w:u w:val="none" w:color="auto"/>
              </w:rPr>
              <w:instrText>)</w:instrText>
            </w:r>
            <w:r>
              <w:rPr>
                <w:rFonts w:hint="eastAsia" w:asciiTheme="minorEastAsia" w:hAnsiTheme="minorEastAsia" w:eastAsiaTheme="minorEastAsia"/>
                <w:color w:val="auto"/>
                <w:sz w:val="20"/>
                <w:u w:val="none" w:color="auto"/>
              </w:rPr>
              <w:fldChar w:fldCharType="end"/>
            </w:r>
            <w:r>
              <w:rPr>
                <w:rFonts w:hint="eastAsia" w:asciiTheme="minorEastAsia" w:hAnsiTheme="minorEastAsia" w:eastAsiaTheme="minorEastAsia"/>
                <w:color w:val="auto"/>
                <w:sz w:val="20"/>
                <w:u w:val="none" w:color="auto"/>
              </w:rPr>
              <w:t>養機能の発揮が特に求められている森林を基本とし、水道取水施設等の集水域及びその周辺において、特に水資源保全上重要で伐採の方法等を制限する必要があると認める森林について、それぞれの森林に関する自然的条件及び社会的条件、地域の要請を踏まえ、林小班単位で定めます。特に北海道水資源の保全に関する条例（平成２４年北海道条例第９号）第１７条の規定に基づく水資源保全地域に指定される森林について林班単位で定めます。</w:t>
            </w:r>
          </w:p>
        </w:tc>
        <w:tc>
          <w:tcPr>
            <w:tcW w:w="3866" w:type="dxa"/>
            <w:vAlign w:val="top"/>
          </w:tcPr>
          <w:p>
            <w:pPr>
              <w:pStyle w:val="0"/>
              <w:widowControl w:val="1"/>
              <w:ind w:firstLine="200" w:firstLineChars="100"/>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水源</w:t>
            </w:r>
            <w:r>
              <w:rPr>
                <w:rFonts w:hint="eastAsia" w:asciiTheme="minorEastAsia" w:hAnsiTheme="minorEastAsia" w:eastAsiaTheme="minorEastAsia"/>
                <w:color w:val="auto"/>
                <w:sz w:val="20"/>
                <w:u w:val="none" w:color="auto"/>
              </w:rPr>
              <w:fldChar w:fldCharType="begin"/>
            </w:r>
            <w:r>
              <w:rPr>
                <w:rFonts w:hint="eastAsia" w:asciiTheme="minorEastAsia" w:hAnsiTheme="minorEastAsia" w:eastAsiaTheme="minorEastAsia"/>
                <w:color w:val="auto"/>
                <w:sz w:val="20"/>
                <w:u w:val="none" w:color="auto"/>
              </w:rPr>
              <w:instrText>EQ \* jc2 \* hps10 \o\ad(\s\up 9(</w:instrText>
            </w:r>
            <w:r>
              <w:rPr>
                <w:rFonts w:hint="default" w:ascii="HG丸ｺﾞｼｯｸM-PRO" w:hAnsi="HG丸ｺﾞｼｯｸM-PRO" w:eastAsia="HG丸ｺﾞｼｯｸM-PRO"/>
                <w:color w:val="auto"/>
                <w:sz w:val="10"/>
              </w:rPr>
              <w:instrText>か</w:instrText>
            </w:r>
            <w:r>
              <w:rPr>
                <w:rFonts w:hint="default" w:ascii="HG丸ｺﾞｼｯｸM-PRO" w:hAnsi="HG丸ｺﾞｼｯｸM-PRO" w:eastAsia="HG丸ｺﾞｼｯｸM-PRO"/>
                <w:color w:val="auto"/>
                <w:sz w:val="10"/>
              </w:rPr>
              <w:instrText>ん</w:instrText>
            </w:r>
            <w:r>
              <w:rPr>
                <w:rFonts w:hint="eastAsia" w:asciiTheme="minorEastAsia" w:hAnsiTheme="minorEastAsia" w:eastAsiaTheme="minorEastAsia"/>
                <w:color w:val="auto"/>
                <w:sz w:val="20"/>
                <w:u w:val="none" w:color="auto"/>
              </w:rPr>
              <w:instrText>),</w:instrText>
            </w:r>
            <w:r>
              <w:rPr>
                <w:rFonts w:hint="eastAsia" w:asciiTheme="minorEastAsia" w:hAnsiTheme="minorEastAsia" w:eastAsiaTheme="minorEastAsia"/>
                <w:color w:val="auto"/>
                <w:sz w:val="20"/>
                <w:u w:val="none" w:color="auto"/>
              </w:rPr>
              <w:instrText>涵</w:instrText>
            </w:r>
            <w:r>
              <w:rPr>
                <w:rFonts w:hint="eastAsia" w:asciiTheme="minorEastAsia" w:hAnsiTheme="minorEastAsia" w:eastAsiaTheme="minorEastAsia"/>
                <w:color w:val="auto"/>
                <w:sz w:val="20"/>
                <w:u w:val="none" w:color="auto"/>
              </w:rPr>
              <w:instrText>)</w:instrText>
            </w:r>
            <w:r>
              <w:rPr>
                <w:rFonts w:hint="eastAsia" w:asciiTheme="minorEastAsia" w:hAnsiTheme="minorEastAsia" w:eastAsiaTheme="minorEastAsia"/>
                <w:color w:val="auto"/>
                <w:sz w:val="20"/>
                <w:u w:val="none" w:color="auto"/>
              </w:rPr>
              <w:fldChar w:fldCharType="end"/>
            </w:r>
            <w:r>
              <w:rPr>
                <w:rFonts w:hint="eastAsia" w:asciiTheme="minorEastAsia" w:hAnsiTheme="minorEastAsia" w:eastAsiaTheme="minorEastAsia"/>
                <w:color w:val="auto"/>
                <w:sz w:val="20"/>
                <w:u w:val="none" w:color="auto"/>
              </w:rPr>
              <w:t>養林における森林施業を基本としますが、更なる伐採面積の縮小に努めるものとし、森林経営計画の実施基準として伐採面積の規模の縮小を行うべき森林を定めます。</w:t>
            </w:r>
          </w:p>
          <w:p>
            <w:pPr>
              <w:pStyle w:val="0"/>
              <w:widowControl w:val="1"/>
              <w:ind w:firstLine="200" w:firstLineChars="100"/>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また、特に急傾斜地等の土砂崩落、又は流出するおそれのある森林については、択伐による複層林施業を推進すべき森林として定めます。</w:t>
            </w:r>
          </w:p>
          <w:p>
            <w:pPr>
              <w:pStyle w:val="0"/>
              <w:widowControl w:val="1"/>
              <w:ind w:firstLine="200" w:firstLineChars="100"/>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施業の実施にあたっては、森林作業道や集材路等の敷設や重機使用に伴う河川・湖沼への土砂流出の防止が図られるよう特に配慮するものとします。</w:t>
            </w:r>
          </w:p>
          <w:p>
            <w:pPr>
              <w:pStyle w:val="0"/>
              <w:widowControl w:val="1"/>
              <w:ind w:firstLine="200" w:firstLineChars="100"/>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伐採跡地については早期に確実な更新を図るものとします。</w:t>
            </w:r>
          </w:p>
        </w:tc>
      </w:tr>
      <w:tr>
        <w:trPr/>
        <w:tc>
          <w:tcPr>
            <w:tcW w:w="921" w:type="dxa"/>
            <w:vMerge w:val="restart"/>
            <w:vAlign w:val="top"/>
          </w:tcPr>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生物</w:t>
            </w:r>
          </w:p>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多様性ゾーン</w:t>
            </w:r>
          </w:p>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（設定なし）</w:t>
            </w:r>
          </w:p>
        </w:tc>
        <w:tc>
          <w:tcPr>
            <w:tcW w:w="954" w:type="dxa"/>
            <w:vAlign w:val="top"/>
          </w:tcPr>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水辺林</w:t>
            </w:r>
          </w:p>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タイプ</w:t>
            </w:r>
          </w:p>
          <w:p>
            <w:pPr>
              <w:pStyle w:val="0"/>
              <w:widowControl w:val="1"/>
              <w:jc w:val="left"/>
              <w:rPr>
                <w:rFonts w:hint="default" w:asciiTheme="minorEastAsia" w:hAnsiTheme="minorEastAsia" w:eastAsiaTheme="minorEastAsia"/>
                <w:color w:val="auto"/>
                <w:sz w:val="20"/>
                <w:u w:val="none" w:color="auto"/>
              </w:rPr>
            </w:pPr>
          </w:p>
        </w:tc>
        <w:tc>
          <w:tcPr>
            <w:tcW w:w="3827" w:type="dxa"/>
            <w:vAlign w:val="top"/>
          </w:tcPr>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　保健・文化機能等維持林のうち、属地的に生物多様性保全機能の発揮が特に求められている森林を基本とし、中でも生物多様性への配慮が求められる水辺林、周囲からの土砂や濁水等の流入により生態系に影響を与える恐れのある水辺林、地域で生物多様性の維持増進に取り組んでいる水辺林等、市町村が特に保全が必要と認める水辺林について、河川の両岸・湖沼周辺から原則２０ｍ以上の区域を小班単位又は小班の一部について定めます。</w:t>
            </w:r>
          </w:p>
        </w:tc>
        <w:tc>
          <w:tcPr>
            <w:tcW w:w="3866" w:type="dxa"/>
            <w:vAlign w:val="top"/>
          </w:tcPr>
          <w:p>
            <w:pPr>
              <w:pStyle w:val="0"/>
              <w:widowControl w:val="1"/>
              <w:ind w:firstLine="200" w:firstLineChars="100"/>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保健・文化機能等維持林における森林施業を基本とし、択伐による複層林施業を推進すべき森林として定めます。</w:t>
            </w:r>
          </w:p>
          <w:p>
            <w:pPr>
              <w:pStyle w:val="0"/>
              <w:widowControl w:val="1"/>
              <w:ind w:firstLine="200" w:firstLineChars="100"/>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施業の実施にあたっては、作業路・集材路は極力既設路線の使用に努め、集材路や重機の使用にあたっては土砂流出等を最小限に抑えるようきめ細かな配慮を行うなど、伐採及び造材に伴う地表かく乱を最小限に抑えるものとします。</w:t>
            </w:r>
          </w:p>
        </w:tc>
      </w:tr>
      <w:tr>
        <w:trPr/>
        <w:tc>
          <w:tcPr>
            <w:tcW w:w="921" w:type="dxa"/>
            <w:vMerge w:val="continue"/>
            <w:vAlign w:val="top"/>
          </w:tcPr>
          <w:p>
            <w:pPr>
              <w:pStyle w:val="0"/>
              <w:rPr>
                <w:rFonts w:hint="default"/>
              </w:rPr>
            </w:pPr>
          </w:p>
        </w:tc>
        <w:tc>
          <w:tcPr>
            <w:tcW w:w="954" w:type="dxa"/>
            <w:vAlign w:val="top"/>
          </w:tcPr>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保護地域タイプ</w:t>
            </w:r>
          </w:p>
          <w:p>
            <w:pPr>
              <w:pStyle w:val="0"/>
              <w:widowControl w:val="1"/>
              <w:jc w:val="left"/>
              <w:rPr>
                <w:rFonts w:hint="default" w:asciiTheme="minorEastAsia" w:hAnsiTheme="minorEastAsia" w:eastAsiaTheme="minorEastAsia"/>
                <w:color w:val="auto"/>
                <w:sz w:val="20"/>
                <w:u w:val="none" w:color="auto"/>
              </w:rPr>
            </w:pPr>
          </w:p>
        </w:tc>
        <w:tc>
          <w:tcPr>
            <w:tcW w:w="3827" w:type="dxa"/>
            <w:vAlign w:val="top"/>
          </w:tcPr>
          <w:p>
            <w:pPr>
              <w:pStyle w:val="0"/>
              <w:widowControl w:val="1"/>
              <w:ind w:firstLine="200" w:firstLineChars="100"/>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保健・文化機能等維持林のうち、属地的に生物多様性保全機能の発揮が特に求められている森林を基本とし、他の法令や計画等により既に保護地区として設定されている森林のほか、市町村が特に保護地域として保全が必要と認める森林について林小班単位で定めます。</w:t>
            </w:r>
          </w:p>
        </w:tc>
        <w:tc>
          <w:tcPr>
            <w:tcW w:w="3866" w:type="dxa"/>
            <w:vAlign w:val="top"/>
          </w:tcPr>
          <w:p>
            <w:pPr>
              <w:pStyle w:val="0"/>
              <w:widowControl w:val="1"/>
              <w:ind w:firstLine="200" w:firstLineChars="100"/>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保健・文化機能等維持林における森林施業を基本とし、択伐による複層林施業を推進すべき森林として定めます。</w:t>
            </w:r>
          </w:p>
          <w:p>
            <w:pPr>
              <w:pStyle w:val="0"/>
              <w:widowControl w:val="1"/>
              <w:jc w:val="left"/>
              <w:rPr>
                <w:rFonts w:hint="default" w:asciiTheme="minorEastAsia" w:hAnsiTheme="minorEastAsia" w:eastAsiaTheme="minorEastAsia"/>
                <w:color w:val="auto"/>
                <w:sz w:val="20"/>
                <w:u w:val="none" w:color="auto"/>
              </w:rPr>
            </w:pPr>
            <w:r>
              <w:rPr>
                <w:rFonts w:hint="eastAsia" w:asciiTheme="minorEastAsia" w:hAnsiTheme="minorEastAsia" w:eastAsiaTheme="minorEastAsia"/>
                <w:color w:val="auto"/>
                <w:sz w:val="20"/>
                <w:u w:val="none" w:color="auto"/>
              </w:rPr>
              <w:t>また、伐採等による環境変化を最小限に抑えることを最優先し、森林の保護を図るものとします。</w:t>
            </w: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第５　委託を受けて行う森林の施業又は経営の実施の促進に関する事項</w:t>
      </w:r>
    </w:p>
    <w:p>
      <w:pPr>
        <w:pStyle w:val="0"/>
        <w:rPr>
          <w:rFonts w:hint="default" w:ascii="ＭＳ 明朝" w:hAnsi="ＭＳ 明朝"/>
          <w:color w:val="auto"/>
        </w:rPr>
      </w:pPr>
      <w:r>
        <w:rPr>
          <w:rFonts w:hint="eastAsia" w:ascii="ＭＳ 明朝" w:hAnsi="ＭＳ 明朝"/>
          <w:color w:val="auto"/>
        </w:rPr>
        <w:t>１　森林の経営の受委託等による森林の経営規模の拡大に関する方針</w:t>
      </w:r>
    </w:p>
    <w:p>
      <w:pPr>
        <w:pStyle w:val="0"/>
        <w:rPr>
          <w:rFonts w:hint="default" w:ascii="ＭＳ 明朝" w:hAnsi="ＭＳ 明朝"/>
          <w:color w:val="auto"/>
        </w:rPr>
      </w:pPr>
      <w:r>
        <w:rPr>
          <w:rFonts w:hint="eastAsia" w:ascii="ＭＳ 明朝" w:hAnsi="ＭＳ 明朝"/>
          <w:color w:val="auto"/>
        </w:rPr>
        <w:t>　　　本村における一般民有林の森林所有者は、５</w:t>
      </w:r>
      <w:r>
        <w:rPr>
          <w:rFonts w:hint="eastAsia" w:ascii="ＭＳ 明朝" w:hAnsi="ＭＳ 明朝"/>
          <w:color w:val="auto"/>
        </w:rPr>
        <w:t>ha</w:t>
      </w:r>
      <w:r>
        <w:rPr>
          <w:rFonts w:hint="eastAsia" w:ascii="ＭＳ 明朝" w:hAnsi="ＭＳ 明朝"/>
          <w:color w:val="auto"/>
        </w:rPr>
        <w:t>以下の森林を所有する小規模森林所有者が全所</w:t>
      </w:r>
    </w:p>
    <w:p>
      <w:pPr>
        <w:pStyle w:val="0"/>
        <w:ind w:left="420" w:leftChars="200"/>
        <w:rPr>
          <w:rFonts w:hint="default" w:ascii="ＭＳ 明朝" w:hAnsi="ＭＳ 明朝"/>
          <w:color w:val="auto"/>
        </w:rPr>
      </w:pPr>
      <w:r>
        <w:rPr>
          <w:rFonts w:hint="eastAsia" w:ascii="ＭＳ 明朝" w:hAnsi="ＭＳ 明朝"/>
          <w:color w:val="auto"/>
        </w:rPr>
        <w:t>有者数の８４％、その所有面積は４２１</w:t>
      </w:r>
      <w:r>
        <w:rPr>
          <w:rFonts w:hint="eastAsia" w:ascii="ＭＳ 明朝" w:hAnsi="ＭＳ 明朝"/>
          <w:color w:val="auto"/>
        </w:rPr>
        <w:t>ha</w:t>
      </w:r>
      <w:r>
        <w:rPr>
          <w:rFonts w:hint="eastAsia" w:ascii="ＭＳ 明朝" w:hAnsi="ＭＳ 明朝"/>
          <w:color w:val="auto"/>
        </w:rPr>
        <w:t>となっています。これは本村の一般民有林面積の２１％を占めるものであります。また、一般民有林のうち人工林が１，６１８</w:t>
      </w:r>
      <w:r>
        <w:rPr>
          <w:rFonts w:hint="eastAsia" w:ascii="ＭＳ 明朝" w:hAnsi="ＭＳ 明朝"/>
          <w:color w:val="auto"/>
        </w:rPr>
        <w:t>ha</w:t>
      </w:r>
      <w:r>
        <w:rPr>
          <w:rFonts w:hint="eastAsia" w:ascii="ＭＳ 明朝" w:hAnsi="ＭＳ 明朝"/>
          <w:color w:val="auto"/>
        </w:rPr>
        <w:t>あり、保育や間伐または主伐を行うにあたっては施業の集約化によるコスト低減、また木材の安定供給にも配慮する必要があります。</w:t>
      </w:r>
    </w:p>
    <w:p>
      <w:pPr>
        <w:pStyle w:val="0"/>
        <w:ind w:left="420" w:leftChars="200" w:firstLine="210" w:firstLineChars="100"/>
        <w:rPr>
          <w:rFonts w:hint="default" w:ascii="ＭＳ 明朝" w:hAnsi="ＭＳ 明朝"/>
          <w:color w:val="auto"/>
        </w:rPr>
      </w:pPr>
      <w:r>
        <w:rPr>
          <w:rFonts w:hint="eastAsia" w:ascii="ＭＳ 明朝" w:hAnsi="ＭＳ 明朝"/>
          <w:color w:val="auto"/>
        </w:rPr>
        <w:t>このため森林組合やその他林業事業体による森林経営の受託や林地流動化の促進により、森林経営の規模拡大を促進します。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森林の施業又は経営の受託等による規模拡大を促進するための方策</w:t>
      </w:r>
    </w:p>
    <w:p>
      <w:pPr>
        <w:pStyle w:val="0"/>
        <w:ind w:left="420" w:hanging="420" w:hangingChars="200"/>
        <w:rPr>
          <w:rFonts w:hint="default" w:ascii="ＭＳ 明朝" w:hAnsi="ＭＳ 明朝"/>
          <w:color w:val="auto"/>
        </w:rPr>
      </w:pPr>
      <w:r>
        <w:rPr>
          <w:rFonts w:hint="eastAsia" w:ascii="ＭＳ 明朝" w:hAnsi="ＭＳ 明朝"/>
          <w:color w:val="auto"/>
        </w:rPr>
        <w:t>　　　委託を受けて行う森林の施業または経営の実施等を図るため、施業集約化と長期施業受委託等に必要な森林情報の提供及び助言・あっせんなどを推進し、長期にわたり持続的な経営を実現できる林業経営体への委託を進めることとします。その際、長期の施業等の委託が円滑に進むよう、森林の土地の所有者届出制度の運用や固定資産税情報の適切な利用を通じて、得られた情報を林地台帳に反映するなどして、森林所有者情報の精度向上を図るとともに、その情報提供を促進することとします。あわせて、航空レーザ測量等により整備した森林資源情報の公開を促進し、面的な集約化を進めることとします。このほか、施業集約化等を担う森林施業プランナーの育成を進めることと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森林の施業又は経営の受託等を実施する上で留意すべき事項</w:t>
      </w:r>
    </w:p>
    <w:p>
      <w:pPr>
        <w:pStyle w:val="0"/>
        <w:ind w:firstLine="210" w:firstLineChars="100"/>
        <w:rPr>
          <w:rFonts w:hint="default" w:ascii="ＭＳ 明朝" w:hAnsi="ＭＳ 明朝"/>
          <w:color w:val="auto"/>
        </w:rPr>
      </w:pPr>
      <w:r>
        <w:rPr>
          <w:rFonts w:hint="eastAsia" w:ascii="ＭＳ 明朝" w:hAnsi="ＭＳ 明朝"/>
          <w:color w:val="auto"/>
        </w:rPr>
        <w:t>　　森林の施業または経営を受託する際には、受託者である森林組合や林業事業体と森林所有者が森</w:t>
      </w:r>
    </w:p>
    <w:p>
      <w:pPr>
        <w:pStyle w:val="0"/>
        <w:ind w:firstLine="420" w:firstLineChars="200"/>
        <w:rPr>
          <w:rFonts w:hint="default" w:ascii="ＭＳ 明朝" w:hAnsi="ＭＳ 明朝"/>
          <w:color w:val="auto"/>
        </w:rPr>
      </w:pPr>
      <w:r>
        <w:rPr>
          <w:rFonts w:hint="eastAsia" w:ascii="ＭＳ 明朝" w:hAnsi="ＭＳ 明朝"/>
          <w:color w:val="auto"/>
        </w:rPr>
        <w:t>林経営受委託契約を締結することとします。</w:t>
      </w:r>
    </w:p>
    <w:p>
      <w:pPr>
        <w:pStyle w:val="0"/>
        <w:ind w:left="420" w:leftChars="200" w:firstLine="210" w:firstLineChars="100"/>
        <w:rPr>
          <w:rFonts w:hint="default" w:ascii="ＭＳ 明朝" w:hAnsi="ＭＳ 明朝"/>
          <w:color w:val="auto"/>
        </w:rPr>
      </w:pPr>
      <w:r>
        <w:rPr>
          <w:rFonts w:hint="eastAsia" w:ascii="ＭＳ 明朝" w:hAnsi="ＭＳ 明朝"/>
          <w:color w:val="auto"/>
        </w:rPr>
        <w:t>なお、森林経営受委託契約においては、森林経営計画の計画期間内において、受託者自ら森林の経営を行うことができるよう造林・保育及び伐採に必要な育成権が付与されるようにすることに加え、森林経営計画が、施業を行う森林のみならず当面の施業を必要としない森林に対する保護も含めた計画となるよう委託事項を適切に設定することに留意します。</w:t>
      </w:r>
    </w:p>
    <w:p>
      <w:pPr>
        <w:pStyle w:val="0"/>
        <w:ind w:left="420" w:leftChars="200" w:firstLine="210" w:firstLineChars="100"/>
        <w:rPr>
          <w:rFonts w:hint="default" w:ascii="ＭＳ 明朝" w:hAnsi="ＭＳ 明朝"/>
          <w:color w:val="auto"/>
        </w:rPr>
      </w:pPr>
      <w:r>
        <w:rPr>
          <w:rFonts w:hint="eastAsia" w:ascii="ＭＳ 明朝" w:hAnsi="ＭＳ 明朝"/>
          <w:color w:val="auto"/>
        </w:rPr>
        <w:t>また、森林経営計画の実行・監理に必要な路網の設置及び維持運営に必要な権原や、森林整備に要する支出の関係を明確化するための条項を適切に設定することに留意します。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４　森林経営管理制度の活用に関する事項</w:t>
      </w:r>
    </w:p>
    <w:p>
      <w:pPr>
        <w:pStyle w:val="0"/>
        <w:ind w:left="210" w:hanging="210" w:hangingChars="100"/>
        <w:rPr>
          <w:rFonts w:hint="default" w:ascii="ＭＳ 明朝" w:hAnsi="ＭＳ 明朝"/>
          <w:color w:val="auto"/>
        </w:rPr>
      </w:pPr>
      <w:r>
        <w:rPr>
          <w:rFonts w:hint="eastAsia" w:ascii="ＭＳ 明朝" w:hAnsi="ＭＳ 明朝"/>
          <w:color w:val="auto"/>
        </w:rPr>
        <w:t>　　林業の成長産業化と森林資源の適切な管理の両立を図るため、市町村を介して森林所有者が自ら林業経営を行えない森林を意欲と能力のある林業経営者につなぐことで林業経営の集積・集約化を図るとともに、経済的に成り立たない森林については、市町村が自ら経営管理を行うことができるように図るなど、森林経営管理制度の活用に努めることとします。</w:t>
      </w:r>
    </w:p>
    <w:p>
      <w:pPr>
        <w:pStyle w:val="0"/>
        <w:ind w:left="210" w:hanging="210" w:hangingChars="100"/>
        <w:rPr>
          <w:rFonts w:hint="default" w:ascii="ＭＳ 明朝" w:hAnsi="ＭＳ 明朝"/>
          <w:color w:val="auto"/>
        </w:rPr>
      </w:pPr>
      <w:r>
        <w:rPr>
          <w:rFonts w:hint="eastAsia" w:ascii="ＭＳ 明朝" w:hAnsi="ＭＳ 明朝"/>
          <w:color w:val="auto"/>
        </w:rPr>
        <w:t>　　また、森林経営管理制度に基づく意向調査については、森林調査簿や林地台帳を基に経営管理が行われていないと思われる森林を対象として実施し、森林所有者が責務を果たすよう森林経営計画の作成を促進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第６　森林施業の共同化の促進に関する事項</w:t>
      </w:r>
    </w:p>
    <w:p>
      <w:pPr>
        <w:pStyle w:val="0"/>
        <w:rPr>
          <w:rFonts w:hint="default" w:ascii="ＭＳ 明朝" w:hAnsi="ＭＳ 明朝"/>
          <w:color w:val="auto"/>
        </w:rPr>
      </w:pPr>
      <w:r>
        <w:rPr>
          <w:rFonts w:hint="eastAsia" w:ascii="ＭＳ 明朝" w:hAnsi="ＭＳ 明朝"/>
          <w:color w:val="auto"/>
        </w:rPr>
        <w:t>１　森林施業の共同化の促進方向</w:t>
      </w:r>
    </w:p>
    <w:p>
      <w:pPr>
        <w:pStyle w:val="0"/>
        <w:overflowPunct w:val="0"/>
        <w:ind w:left="420" w:leftChars="200"/>
        <w:textAlignment w:val="baseline"/>
        <w:rPr>
          <w:rFonts w:hint="default" w:ascii="ＭＳ 明朝" w:hAnsi="ＭＳ 明朝"/>
          <w:color w:val="auto"/>
          <w:kern w:val="0"/>
        </w:rPr>
      </w:pPr>
      <w:r>
        <w:rPr>
          <w:rFonts w:hint="eastAsia" w:ascii="ＭＳ 明朝" w:hAnsi="ＭＳ 明朝"/>
          <w:color w:val="auto"/>
        </w:rPr>
        <w:t>　</w:t>
      </w:r>
      <w:r>
        <w:rPr>
          <w:rFonts w:hint="eastAsia" w:ascii="ＭＳ 明朝" w:hAnsi="ＭＳ 明朝"/>
          <w:color w:val="auto"/>
          <w:kern w:val="0"/>
        </w:rPr>
        <w:t>本村の森林所有者のほとんどが兼業であり、かつ、不在村森林所有者も多いため、その生産活動は小規模分散的になっています。集団化が可能な地域にあっては、村・森林組合等が普及啓蒙活動等を通じて森林施業を共同化して行うために森林所有者の合意形成に努め、共同施業の連携を図ります。森林整備計画に則した森林所有者間の施業実施協定の締結を促進するとともに、不在村森林所有者が多い地域にあっては、所有者に対し啓蒙活動を強化しながら適正な森林施業の確保に努めることとします。</w:t>
      </w:r>
    </w:p>
    <w:p>
      <w:pPr>
        <w:pStyle w:val="0"/>
        <w:overflowPunct w:val="0"/>
        <w:ind w:left="420" w:leftChars="200" w:firstLine="210" w:firstLineChars="100"/>
        <w:textAlignment w:val="baseline"/>
        <w:rPr>
          <w:rFonts w:hint="default" w:ascii="ＭＳ 明朝" w:hAnsi="ＭＳ 明朝"/>
          <w:color w:val="auto"/>
          <w:kern w:val="0"/>
        </w:rPr>
      </w:pPr>
      <w:r>
        <w:rPr>
          <w:rFonts w:hint="eastAsia" w:ascii="ＭＳ 明朝" w:hAnsi="ＭＳ 明朝"/>
          <w:color w:val="auto"/>
          <w:kern w:val="0"/>
        </w:rPr>
        <w:t>また、共同化を促進するために、村、十勝総合振興局森林室、森林組合等地域に密着した機関により指導活動を強化します。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施業実施協定の締結その他森林施業の共同化の促進方策</w:t>
      </w:r>
    </w:p>
    <w:p>
      <w:pPr>
        <w:pStyle w:val="0"/>
        <w:overflowPunct w:val="0"/>
        <w:ind w:left="420" w:hanging="420" w:hangingChars="200"/>
        <w:textAlignment w:val="baseline"/>
        <w:rPr>
          <w:rFonts w:hint="default" w:ascii="ＭＳ 明朝" w:hAnsi="ＭＳ 明朝"/>
          <w:color w:val="auto"/>
          <w:kern w:val="0"/>
        </w:rPr>
      </w:pPr>
      <w:r>
        <w:rPr>
          <w:rFonts w:hint="eastAsia" w:ascii="ＭＳ 明朝" w:hAnsi="ＭＳ 明朝"/>
          <w:color w:val="auto"/>
          <w:kern w:val="0"/>
        </w:rPr>
        <w:t>　　　該当なし</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共同して森林施業を実施する上で留意すべき事項</w:t>
      </w:r>
    </w:p>
    <w:p>
      <w:pPr>
        <w:pStyle w:val="0"/>
        <w:ind w:left="420" w:hanging="420" w:hangingChars="200"/>
        <w:rPr>
          <w:rFonts w:hint="default" w:ascii="ＭＳ 明朝" w:hAnsi="ＭＳ 明朝"/>
          <w:color w:val="auto"/>
          <w:kern w:val="0"/>
        </w:rPr>
      </w:pPr>
      <w:r>
        <w:rPr>
          <w:rFonts w:hint="eastAsia" w:ascii="ＭＳ 明朝" w:hAnsi="ＭＳ 明朝"/>
          <w:color w:val="auto"/>
        </w:rPr>
        <w:t>　　　</w:t>
      </w:r>
      <w:r>
        <w:rPr>
          <w:rFonts w:hint="eastAsia" w:ascii="ＭＳ 明朝" w:hAnsi="ＭＳ 明朝"/>
          <w:color w:val="auto"/>
          <w:kern w:val="0"/>
        </w:rPr>
        <w:t>森林所有者等が共同して森林施業を実施する際は、次の内容に留意することに努めることとします。</w:t>
      </w:r>
    </w:p>
    <w:p>
      <w:pPr>
        <w:pStyle w:val="0"/>
        <w:ind w:left="840" w:leftChars="300" w:hanging="210" w:hangingChars="100"/>
        <w:rPr>
          <w:rFonts w:hint="default" w:ascii="ＭＳ 明朝" w:hAnsi="ＭＳ 明朝"/>
          <w:color w:val="auto"/>
          <w:kern w:val="0"/>
        </w:rPr>
      </w:pPr>
      <w:r>
        <w:rPr>
          <w:rFonts w:hint="eastAsia" w:ascii="ＭＳ 明朝" w:hAnsi="ＭＳ 明朝"/>
          <w:color w:val="auto"/>
          <w:kern w:val="0"/>
        </w:rPr>
        <w:t>・　共同して森林施業を実施する者は、一体として効率的に施業を実施するのに必要な作業道、土場、作業場等の施設の設置及び維持管理の方法並びに利用に関し必要な事項をあらかじめ明確にすること。</w:t>
      </w:r>
    </w:p>
    <w:p>
      <w:pPr>
        <w:pStyle w:val="0"/>
        <w:ind w:left="840" w:leftChars="300" w:hanging="210" w:hangingChars="100"/>
        <w:rPr>
          <w:rFonts w:hint="default" w:ascii="ＭＳ 明朝" w:hAnsi="ＭＳ 明朝"/>
          <w:color w:val="auto"/>
          <w:kern w:val="0"/>
        </w:rPr>
      </w:pPr>
      <w:r>
        <w:rPr>
          <w:rFonts w:hint="eastAsia" w:ascii="ＭＳ 明朝" w:hAnsi="ＭＳ 明朝"/>
          <w:color w:val="auto"/>
          <w:kern w:val="0"/>
        </w:rPr>
        <w:t>・　共同して森林施業を実施する者は、共同して実施しようとする施業の種類に応じ、労務の分担又は相互提供、種苗その他共同購入等共同して行う施業の実施方法をあらかじめ明確にすること。</w:t>
      </w:r>
    </w:p>
    <w:p>
      <w:pPr>
        <w:pStyle w:val="0"/>
        <w:ind w:left="840" w:leftChars="300" w:hanging="210" w:hangingChars="100"/>
        <w:rPr>
          <w:rFonts w:hint="default" w:ascii="ＭＳ 明朝" w:hAnsi="ＭＳ 明朝"/>
          <w:color w:val="auto"/>
        </w:rPr>
      </w:pPr>
      <w:r>
        <w:rPr>
          <w:rFonts w:hint="eastAsia" w:ascii="ＭＳ 明朝" w:hAnsi="ＭＳ 明朝"/>
          <w:color w:val="auto"/>
          <w:kern w:val="0"/>
        </w:rPr>
        <w:t>・　共同して森林施業を実施する者の一人が上記により明確にした事項について遵守しないことにより、他の共同施業実施者に不利益を被らせ又は森林施業の共同化の実効性が損なわ</w:t>
      </w:r>
      <w:r>
        <w:rPr>
          <w:rFonts w:hint="eastAsia" w:ascii="ＭＳ 明朝" w:hAnsi="ＭＳ 明朝"/>
          <w:color w:val="auto"/>
        </w:rPr>
        <w:t>れないよう、あらかじめ、施業の共同実施の実効性を担保するための措置について明確にすること。</w:t>
      </w:r>
    </w:p>
    <w:p>
      <w:pPr>
        <w:pStyle w:val="0"/>
        <w:ind w:left="840" w:leftChars="300" w:hanging="210" w:hangingChars="1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第７　作業路網その他森林の整備のために必要な施設の整備に関する事項</w:t>
      </w:r>
    </w:p>
    <w:p>
      <w:pPr>
        <w:pStyle w:val="0"/>
        <w:rPr>
          <w:rFonts w:hint="default" w:ascii="ＭＳ 明朝" w:hAnsi="ＭＳ 明朝"/>
          <w:color w:val="auto"/>
        </w:rPr>
      </w:pPr>
      <w:r>
        <w:rPr>
          <w:rFonts w:hint="eastAsia" w:ascii="ＭＳ 明朝" w:hAnsi="ＭＳ 明朝"/>
          <w:color w:val="auto"/>
        </w:rPr>
        <w:t>１　作業路網の整備に関する事項</w:t>
      </w:r>
    </w:p>
    <w:p>
      <w:pPr>
        <w:pStyle w:val="0"/>
        <w:ind w:left="840" w:leftChars="100" w:hanging="630" w:hangingChars="300"/>
        <w:rPr>
          <w:rFonts w:hint="default" w:ascii="ＭＳ 明朝" w:hAnsi="ＭＳ 明朝"/>
          <w:color w:val="auto"/>
        </w:rPr>
      </w:pPr>
      <w:r>
        <w:rPr>
          <w:rFonts w:hint="eastAsia" w:ascii="ＭＳ 明朝" w:hAnsi="ＭＳ 明朝"/>
          <w:color w:val="auto"/>
        </w:rPr>
        <w:t>（１）　効率的な森林施業を推進するための路網密度の水準及び作業システム並びに作業路網等整備とあわせて効率的な森林施業を推進する区域に関する事項</w:t>
      </w:r>
    </w:p>
    <w:p>
      <w:pPr>
        <w:pStyle w:val="0"/>
        <w:ind w:left="195" w:firstLine="210" w:firstLineChars="100"/>
        <w:rPr>
          <w:rFonts w:hint="default" w:ascii="ＭＳ 明朝" w:hAnsi="ＭＳ 明朝"/>
          <w:color w:val="auto"/>
        </w:rPr>
      </w:pPr>
      <w:r>
        <w:rPr>
          <w:rFonts w:hint="eastAsia" w:ascii="ＭＳ 明朝" w:hAnsi="ＭＳ 明朝"/>
          <w:color w:val="auto"/>
        </w:rPr>
        <w:t>ア　路網密度の水準及び作業システム</w:t>
      </w:r>
    </w:p>
    <w:p>
      <w:pPr>
        <w:pStyle w:val="0"/>
        <w:ind w:left="615"/>
        <w:rPr>
          <w:rFonts w:hint="default" w:ascii="ＭＳ 明朝" w:hAnsi="ＭＳ 明朝"/>
          <w:color w:val="auto"/>
        </w:rPr>
      </w:pPr>
      <w:r>
        <w:rPr>
          <w:rFonts w:hint="eastAsia" w:ascii="ＭＳ 明朝" w:hAnsi="ＭＳ 明朝"/>
          <w:color w:val="auto"/>
        </w:rPr>
        <w:t>効率的な森林施業を推進するための林地の傾斜区分や搬出方法に応じた路網密度の水準について、次のとおり定めます。</w:t>
      </w:r>
    </w:p>
    <w:p>
      <w:pPr>
        <w:pStyle w:val="0"/>
        <w:ind w:left="615" w:firstLine="6090" w:firstLineChars="2900"/>
        <w:rPr>
          <w:rFonts w:hint="default" w:ascii="ＭＳ 明朝" w:hAnsi="ＭＳ 明朝"/>
          <w:color w:val="auto"/>
        </w:rPr>
      </w:pPr>
      <w:r>
        <w:rPr>
          <w:rFonts w:hint="eastAsia" w:ascii="ＭＳ 明朝" w:hAnsi="ＭＳ 明朝"/>
          <w:color w:val="auto"/>
        </w:rPr>
        <w:t>単位　路網密度：</w:t>
      </w:r>
      <w:r>
        <w:rPr>
          <w:rFonts w:hint="eastAsia" w:ascii="ＭＳ 明朝" w:hAnsi="ＭＳ 明朝"/>
          <w:color w:val="auto"/>
        </w:rPr>
        <w:t>m</w:t>
      </w:r>
      <w:r>
        <w:rPr>
          <w:rFonts w:hint="eastAsia" w:ascii="ＭＳ 明朝" w:hAnsi="ＭＳ 明朝"/>
          <w:color w:val="auto"/>
        </w:rPr>
        <w:t>／</w:t>
      </w:r>
      <w:r>
        <w:rPr>
          <w:rFonts w:hint="eastAsia" w:ascii="ＭＳ 明朝" w:hAnsi="ＭＳ 明朝"/>
          <w:color w:val="auto"/>
        </w:rPr>
        <w:t>ha</w:t>
      </w:r>
    </w:p>
    <w:tbl>
      <w:tblPr>
        <w:tblStyle w:val="11"/>
        <w:tblW w:w="9072"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4"/>
        <w:gridCol w:w="2835"/>
        <w:gridCol w:w="1701"/>
        <w:gridCol w:w="1842"/>
      </w:tblGrid>
      <w:tr>
        <w:trPr>
          <w:trHeight w:val="285" w:hRule="atLeast"/>
        </w:trPr>
        <w:tc>
          <w:tcPr>
            <w:tcW w:w="2694" w:type="dxa"/>
            <w:vMerge w:val="restart"/>
            <w:vAlign w:val="center"/>
          </w:tcPr>
          <w:p>
            <w:pPr>
              <w:pStyle w:val="0"/>
              <w:jc w:val="center"/>
              <w:rPr>
                <w:rFonts w:hint="default" w:ascii="ＭＳ 明朝" w:hAnsi="ＭＳ 明朝"/>
                <w:color w:val="auto"/>
              </w:rPr>
            </w:pPr>
            <w:r>
              <w:rPr>
                <w:rFonts w:hint="eastAsia" w:ascii="ＭＳ 明朝" w:hAnsi="ＭＳ 明朝"/>
                <w:color w:val="auto"/>
              </w:rPr>
              <w:t>区分</w:t>
            </w:r>
          </w:p>
        </w:tc>
        <w:tc>
          <w:tcPr>
            <w:tcW w:w="2835" w:type="dxa"/>
            <w:vMerge w:val="restart"/>
            <w:vAlign w:val="center"/>
          </w:tcPr>
          <w:p>
            <w:pPr>
              <w:pStyle w:val="0"/>
              <w:jc w:val="center"/>
              <w:rPr>
                <w:rFonts w:hint="default" w:ascii="ＭＳ 明朝" w:hAnsi="ＭＳ 明朝"/>
                <w:color w:val="auto"/>
              </w:rPr>
            </w:pPr>
            <w:r>
              <w:rPr>
                <w:rFonts w:hint="eastAsia" w:ascii="ＭＳ 明朝" w:hAnsi="ＭＳ 明朝"/>
                <w:color w:val="auto"/>
              </w:rPr>
              <w:t>作業システム</w:t>
            </w:r>
          </w:p>
        </w:tc>
        <w:tc>
          <w:tcPr>
            <w:tcW w:w="1701" w:type="dxa"/>
            <w:vMerge w:val="restart"/>
            <w:tcBorders>
              <w:top w:val="single" w:color="auto" w:sz="4" w:space="0"/>
              <w:left w:val="none" w:color="auto" w:sz="0" w:space="0"/>
              <w:bottom w:val="none" w:color="auto" w:sz="0" w:space="0"/>
              <w:right w:val="nil"/>
              <w:tl2br w:val="none" w:color="auto" w:sz="0" w:space="0"/>
              <w:tr2bl w:val="none" w:color="auto" w:sz="0" w:space="0"/>
            </w:tcBorders>
            <w:vAlign w:val="top"/>
          </w:tcPr>
          <w:p>
            <w:pPr>
              <w:pStyle w:val="0"/>
              <w:jc w:val="right"/>
              <w:rPr>
                <w:rFonts w:hint="default" w:ascii="ＭＳ 明朝" w:hAnsi="ＭＳ 明朝"/>
                <w:color w:val="auto"/>
              </w:rPr>
            </w:pPr>
            <w:r>
              <w:rPr>
                <w:rFonts w:hint="eastAsia" w:ascii="ＭＳ 明朝" w:hAnsi="ＭＳ 明朝"/>
                <w:color w:val="auto"/>
              </w:rPr>
              <w:t>路網</w:t>
            </w:r>
          </w:p>
        </w:tc>
        <w:tc>
          <w:tcPr>
            <w:tcW w:w="1842" w:type="dxa"/>
            <w:tcBorders>
              <w:top w:val="single" w:color="auto" w:sz="4"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auto"/>
              </w:rPr>
            </w:pPr>
            <w:r>
              <w:rPr>
                <w:rFonts w:hint="eastAsia" w:ascii="ＭＳ 明朝" w:hAnsi="ＭＳ 明朝"/>
                <w:color w:val="auto"/>
              </w:rPr>
              <w:t>密度</w:t>
            </w:r>
          </w:p>
        </w:tc>
      </w:tr>
      <w:tr>
        <w:trPr>
          <w:trHeight w:val="282" w:hRule="atLeast"/>
        </w:trPr>
        <w:tc>
          <w:tcPr>
            <w:tcW w:w="2694" w:type="dxa"/>
            <w:vMerge w:val="continue"/>
            <w:vAlign w:val="top"/>
          </w:tcPr>
          <w:p>
            <w:pPr>
              <w:pStyle w:val="0"/>
              <w:ind w:left="615"/>
              <w:rPr>
                <w:rFonts w:hint="default" w:ascii="ＭＳ 明朝" w:hAnsi="ＭＳ 明朝"/>
              </w:rPr>
            </w:pPr>
          </w:p>
        </w:tc>
        <w:tc>
          <w:tcPr>
            <w:tcW w:w="2835" w:type="dxa"/>
            <w:vMerge w:val="continue"/>
            <w:vAlign w:val="top"/>
          </w:tcPr>
          <w:p>
            <w:pPr>
              <w:pStyle w:val="0"/>
              <w:widowControl w:val="1"/>
              <w:jc w:val="left"/>
              <w:rPr>
                <w:rFonts w:hint="default" w:ascii="ＭＳ 明朝" w:hAnsi="ＭＳ 明朝"/>
              </w:rPr>
            </w:pPr>
          </w:p>
        </w:tc>
        <w:tc>
          <w:tcPr>
            <w:tcW w:w="1701"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rPr>
            </w:pPr>
          </w:p>
        </w:tc>
        <w:tc>
          <w:tcPr>
            <w:tcW w:w="18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基幹路網</w:t>
            </w:r>
          </w:p>
        </w:tc>
      </w:tr>
      <w:tr>
        <w:trPr>
          <w:trHeight w:val="300" w:hRule="atLeast"/>
        </w:trPr>
        <w:tc>
          <w:tcPr>
            <w:tcW w:w="2694" w:type="dxa"/>
            <w:vAlign w:val="top"/>
          </w:tcPr>
          <w:p>
            <w:pPr>
              <w:pStyle w:val="0"/>
              <w:rPr>
                <w:rFonts w:hint="default" w:ascii="ＭＳ 明朝" w:hAnsi="ＭＳ 明朝"/>
                <w:color w:val="auto"/>
              </w:rPr>
            </w:pPr>
            <w:r>
              <w:rPr>
                <w:rFonts w:hint="eastAsia" w:ascii="ＭＳ 明朝" w:hAnsi="ＭＳ 明朝"/>
                <w:color w:val="auto"/>
              </w:rPr>
              <w:t>緩傾斜地（</w:t>
            </w:r>
            <w:r>
              <w:rPr>
                <w:rFonts w:hint="eastAsia" w:ascii="ＭＳ 明朝" w:hAnsi="ＭＳ 明朝"/>
                <w:color w:val="auto"/>
              </w:rPr>
              <w:t xml:space="preserve"> 0</w:t>
            </w:r>
            <w:r>
              <w:rPr>
                <w:rFonts w:hint="eastAsia" w:ascii="ＭＳ 明朝" w:hAnsi="ＭＳ 明朝"/>
                <w:color w:val="auto"/>
              </w:rPr>
              <w:t>°～</w:t>
            </w:r>
            <w:r>
              <w:rPr>
                <w:rFonts w:hint="eastAsia" w:ascii="ＭＳ 明朝" w:hAnsi="ＭＳ 明朝"/>
                <w:color w:val="auto"/>
              </w:rPr>
              <w:t xml:space="preserve"> 15</w:t>
            </w:r>
            <w:r>
              <w:rPr>
                <w:rFonts w:hint="eastAsia" w:ascii="ＭＳ 明朝" w:hAnsi="ＭＳ 明朝"/>
                <w:color w:val="auto"/>
              </w:rPr>
              <w:t>°）</w:t>
            </w:r>
          </w:p>
        </w:tc>
        <w:tc>
          <w:tcPr>
            <w:tcW w:w="2835" w:type="dxa"/>
            <w:vAlign w:val="center"/>
          </w:tcPr>
          <w:p>
            <w:pPr>
              <w:pStyle w:val="0"/>
              <w:ind w:firstLine="210" w:firstLineChars="100"/>
              <w:rPr>
                <w:rFonts w:hint="default" w:ascii="ＭＳ 明朝" w:hAnsi="ＭＳ 明朝"/>
                <w:color w:val="auto"/>
              </w:rPr>
            </w:pPr>
            <w:r>
              <w:rPr>
                <w:rFonts w:hint="eastAsia" w:ascii="ＭＳ 明朝" w:hAnsi="ＭＳ 明朝"/>
                <w:color w:val="auto"/>
              </w:rPr>
              <w:t>車両系作業システム</w:t>
            </w:r>
            <w:r>
              <w:rPr>
                <w:rFonts w:hint="eastAsia" w:ascii="ＭＳ 明朝" w:hAnsi="ＭＳ 明朝"/>
                <w:color w:val="auto"/>
                <w:vertAlign w:val="superscript"/>
              </w:rPr>
              <w:t>（注１）</w:t>
            </w:r>
          </w:p>
        </w:tc>
        <w:tc>
          <w:tcPr>
            <w:tcW w:w="1701" w:type="dxa"/>
            <w:vAlign w:val="center"/>
          </w:tcPr>
          <w:p>
            <w:pPr>
              <w:pStyle w:val="0"/>
              <w:jc w:val="center"/>
              <w:rPr>
                <w:rFonts w:hint="default" w:ascii="ＭＳ 明朝" w:hAnsi="ＭＳ 明朝"/>
                <w:color w:val="auto"/>
              </w:rPr>
            </w:pPr>
            <w:r>
              <w:rPr>
                <w:rFonts w:hint="eastAsia" w:ascii="ＭＳ 明朝" w:hAnsi="ＭＳ 明朝"/>
                <w:color w:val="auto"/>
              </w:rPr>
              <w:t>110</w:t>
            </w:r>
            <w:r>
              <w:rPr>
                <w:rFonts w:hint="eastAsia" w:ascii="ＭＳ 明朝" w:hAnsi="ＭＳ 明朝"/>
                <w:color w:val="auto"/>
              </w:rPr>
              <w:t>以上</w:t>
            </w:r>
          </w:p>
        </w:tc>
        <w:tc>
          <w:tcPr>
            <w:tcW w:w="1842" w:type="dxa"/>
            <w:vAlign w:val="center"/>
          </w:tcPr>
          <w:p>
            <w:pPr>
              <w:pStyle w:val="0"/>
              <w:jc w:val="center"/>
              <w:rPr>
                <w:rFonts w:hint="default" w:ascii="ＭＳ 明朝" w:hAnsi="ＭＳ 明朝"/>
                <w:color w:val="auto"/>
              </w:rPr>
            </w:pPr>
            <w:r>
              <w:rPr>
                <w:rFonts w:hint="eastAsia" w:ascii="ＭＳ 明朝" w:hAnsi="ＭＳ 明朝"/>
                <w:color w:val="auto"/>
              </w:rPr>
              <w:t>35</w:t>
            </w:r>
            <w:r>
              <w:rPr>
                <w:rFonts w:hint="eastAsia" w:ascii="ＭＳ 明朝" w:hAnsi="ＭＳ 明朝"/>
                <w:color w:val="auto"/>
              </w:rPr>
              <w:t>以上</w:t>
            </w:r>
          </w:p>
        </w:tc>
      </w:tr>
      <w:tr>
        <w:trPr>
          <w:trHeight w:val="300" w:hRule="atLeast"/>
        </w:trPr>
        <w:tc>
          <w:tcPr>
            <w:tcW w:w="2694" w:type="dxa"/>
            <w:vAlign w:val="top"/>
          </w:tcPr>
          <w:p>
            <w:pPr>
              <w:pStyle w:val="0"/>
              <w:rPr>
                <w:rFonts w:hint="default" w:ascii="ＭＳ 明朝" w:hAnsi="ＭＳ 明朝"/>
                <w:color w:val="auto"/>
              </w:rPr>
            </w:pPr>
            <w:r>
              <w:rPr>
                <w:rFonts w:hint="eastAsia" w:ascii="ＭＳ 明朝" w:hAnsi="ＭＳ 明朝"/>
                <w:color w:val="auto"/>
              </w:rPr>
              <w:t>中傾斜地（</w:t>
            </w:r>
            <w:r>
              <w:rPr>
                <w:rFonts w:hint="eastAsia" w:ascii="ＭＳ 明朝" w:hAnsi="ＭＳ 明朝"/>
                <w:color w:val="auto"/>
              </w:rPr>
              <w:t>15</w:t>
            </w:r>
            <w:r>
              <w:rPr>
                <w:rFonts w:hint="eastAsia" w:ascii="ＭＳ 明朝" w:hAnsi="ＭＳ 明朝"/>
                <w:color w:val="auto"/>
              </w:rPr>
              <w:t>°～</w:t>
            </w:r>
            <w:r>
              <w:rPr>
                <w:rFonts w:hint="eastAsia" w:ascii="ＭＳ 明朝" w:hAnsi="ＭＳ 明朝"/>
                <w:color w:val="auto"/>
              </w:rPr>
              <w:t xml:space="preserve"> 30</w:t>
            </w:r>
            <w:r>
              <w:rPr>
                <w:rFonts w:hint="eastAsia" w:ascii="ＭＳ 明朝" w:hAnsi="ＭＳ 明朝"/>
                <w:color w:val="auto"/>
              </w:rPr>
              <w:t>°）</w:t>
            </w:r>
          </w:p>
        </w:tc>
        <w:tc>
          <w:tcPr>
            <w:tcW w:w="2835" w:type="dxa"/>
            <w:vAlign w:val="center"/>
          </w:tcPr>
          <w:p>
            <w:pPr>
              <w:pStyle w:val="0"/>
              <w:ind w:firstLine="210" w:firstLineChars="100"/>
              <w:rPr>
                <w:rFonts w:hint="default" w:ascii="ＭＳ 明朝" w:hAnsi="ＭＳ 明朝"/>
                <w:color w:val="auto"/>
              </w:rPr>
            </w:pPr>
            <w:r>
              <w:rPr>
                <w:rFonts w:hint="eastAsia" w:ascii="ＭＳ 明朝" w:hAnsi="ＭＳ 明朝"/>
                <w:color w:val="auto"/>
              </w:rPr>
              <w:t>車両系作業システム</w:t>
            </w:r>
          </w:p>
        </w:tc>
        <w:tc>
          <w:tcPr>
            <w:tcW w:w="1701" w:type="dxa"/>
            <w:vAlign w:val="center"/>
          </w:tcPr>
          <w:p>
            <w:pPr>
              <w:pStyle w:val="0"/>
              <w:jc w:val="center"/>
              <w:rPr>
                <w:rFonts w:hint="default" w:ascii="ＭＳ 明朝" w:hAnsi="ＭＳ 明朝"/>
                <w:color w:val="auto"/>
              </w:rPr>
            </w:pPr>
            <w:r>
              <w:rPr>
                <w:rFonts w:hint="eastAsia" w:ascii="ＭＳ 明朝" w:hAnsi="ＭＳ 明朝"/>
                <w:color w:val="auto"/>
              </w:rPr>
              <w:t>85</w:t>
            </w:r>
            <w:r>
              <w:rPr>
                <w:rFonts w:hint="eastAsia" w:ascii="ＭＳ 明朝" w:hAnsi="ＭＳ 明朝"/>
                <w:color w:val="auto"/>
              </w:rPr>
              <w:t>以上</w:t>
            </w:r>
          </w:p>
        </w:tc>
        <w:tc>
          <w:tcPr>
            <w:tcW w:w="1842" w:type="dxa"/>
            <w:vAlign w:val="center"/>
          </w:tcPr>
          <w:p>
            <w:pPr>
              <w:pStyle w:val="0"/>
              <w:jc w:val="center"/>
              <w:rPr>
                <w:rFonts w:hint="default" w:ascii="ＭＳ 明朝" w:hAnsi="ＭＳ 明朝"/>
                <w:color w:val="auto"/>
              </w:rPr>
            </w:pPr>
            <w:r>
              <w:rPr>
                <w:rFonts w:hint="eastAsia" w:ascii="ＭＳ 明朝" w:hAnsi="ＭＳ 明朝"/>
                <w:color w:val="auto"/>
              </w:rPr>
              <w:t>25</w:t>
            </w:r>
            <w:r>
              <w:rPr>
                <w:rFonts w:hint="eastAsia" w:ascii="ＭＳ 明朝" w:hAnsi="ＭＳ 明朝"/>
                <w:color w:val="auto"/>
              </w:rPr>
              <w:t>以上</w:t>
            </w:r>
          </w:p>
        </w:tc>
      </w:tr>
      <w:tr>
        <w:trPr>
          <w:trHeight w:val="270" w:hRule="atLeast"/>
        </w:trPr>
        <w:tc>
          <w:tcPr>
            <w:tcW w:w="2694" w:type="dxa"/>
            <w:vAlign w:val="top"/>
          </w:tcPr>
          <w:p>
            <w:pPr>
              <w:pStyle w:val="0"/>
              <w:rPr>
                <w:rFonts w:hint="default" w:ascii="ＭＳ 明朝" w:hAnsi="ＭＳ 明朝"/>
                <w:color w:val="auto"/>
              </w:rPr>
            </w:pPr>
            <w:r>
              <w:rPr>
                <w:rFonts w:hint="eastAsia" w:ascii="ＭＳ 明朝" w:hAnsi="ＭＳ 明朝"/>
                <w:color w:val="auto"/>
              </w:rPr>
              <w:t>急傾斜地（</w:t>
            </w:r>
            <w:r>
              <w:rPr>
                <w:rFonts w:hint="eastAsia" w:ascii="ＭＳ 明朝" w:hAnsi="ＭＳ 明朝"/>
                <w:color w:val="auto"/>
              </w:rPr>
              <w:t>30</w:t>
            </w:r>
            <w:r>
              <w:rPr>
                <w:rFonts w:hint="eastAsia" w:ascii="ＭＳ 明朝" w:hAnsi="ＭＳ 明朝"/>
                <w:color w:val="auto"/>
              </w:rPr>
              <w:t>°～　）</w:t>
            </w:r>
          </w:p>
        </w:tc>
        <w:tc>
          <w:tcPr>
            <w:tcW w:w="2835" w:type="dxa"/>
            <w:vAlign w:val="center"/>
          </w:tcPr>
          <w:p>
            <w:pPr>
              <w:pStyle w:val="0"/>
              <w:ind w:firstLine="210" w:firstLineChars="100"/>
              <w:rPr>
                <w:rFonts w:hint="default" w:ascii="ＭＳ 明朝" w:hAnsi="ＭＳ 明朝"/>
                <w:color w:val="auto"/>
              </w:rPr>
            </w:pPr>
            <w:r>
              <w:rPr>
                <w:rFonts w:hint="eastAsia" w:ascii="ＭＳ 明朝" w:hAnsi="ＭＳ 明朝"/>
                <w:color w:val="auto"/>
              </w:rPr>
              <w:t>架線系作業システム</w:t>
            </w:r>
            <w:r>
              <w:rPr>
                <w:rFonts w:hint="eastAsia" w:ascii="ＭＳ 明朝" w:hAnsi="ＭＳ 明朝"/>
                <w:color w:val="auto"/>
                <w:vertAlign w:val="superscript"/>
              </w:rPr>
              <w:t>（注２）</w:t>
            </w:r>
          </w:p>
        </w:tc>
        <w:tc>
          <w:tcPr>
            <w:tcW w:w="1701" w:type="dxa"/>
            <w:vAlign w:val="top"/>
          </w:tcPr>
          <w:p>
            <w:pPr>
              <w:pStyle w:val="0"/>
              <w:rPr>
                <w:rFonts w:hint="default"/>
                <w:color w:val="auto"/>
              </w:rPr>
            </w:pPr>
            <w:r>
              <w:rPr>
                <w:rFonts w:hint="eastAsia"/>
                <w:color w:val="auto"/>
              </w:rPr>
              <w:t>20</w:t>
            </w:r>
            <w:r>
              <w:rPr>
                <w:rFonts w:hint="eastAsia"/>
                <w:color w:val="auto"/>
              </w:rPr>
              <w:t>＜</w:t>
            </w:r>
            <w:r>
              <w:rPr>
                <w:rFonts w:hint="eastAsia"/>
                <w:color w:val="auto"/>
              </w:rPr>
              <w:t>15</w:t>
            </w:r>
            <w:r>
              <w:rPr>
                <w:rFonts w:hint="eastAsia"/>
                <w:color w:val="auto"/>
              </w:rPr>
              <w:t>＞以上</w:t>
            </w:r>
          </w:p>
        </w:tc>
        <w:tc>
          <w:tcPr>
            <w:tcW w:w="1842" w:type="dxa"/>
            <w:vAlign w:val="top"/>
          </w:tcPr>
          <w:p>
            <w:pPr>
              <w:pStyle w:val="0"/>
              <w:rPr>
                <w:rFonts w:hint="default"/>
                <w:color w:val="auto"/>
              </w:rPr>
            </w:pPr>
            <w:r>
              <w:rPr>
                <w:rFonts w:hint="eastAsia"/>
                <w:color w:val="auto"/>
              </w:rPr>
              <w:t>20</w:t>
            </w:r>
            <w:r>
              <w:rPr>
                <w:rFonts w:hint="eastAsia"/>
                <w:color w:val="auto"/>
              </w:rPr>
              <w:t>＜</w:t>
            </w:r>
            <w:r>
              <w:rPr>
                <w:rFonts w:hint="eastAsia"/>
                <w:color w:val="auto"/>
              </w:rPr>
              <w:t>15</w:t>
            </w:r>
            <w:r>
              <w:rPr>
                <w:rFonts w:hint="eastAsia"/>
                <w:color w:val="auto"/>
              </w:rPr>
              <w:t>＞以上</w:t>
            </w: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（注１）「車両系作業システム」とは、車両系の林業機械により林内の路網を移動しながら木材</w:t>
      </w:r>
    </w:p>
    <w:p>
      <w:pPr>
        <w:pStyle w:val="0"/>
        <w:ind w:firstLine="1470" w:firstLineChars="700"/>
        <w:rPr>
          <w:rFonts w:hint="default" w:ascii="ＭＳ 明朝" w:hAnsi="ＭＳ 明朝"/>
          <w:color w:val="auto"/>
        </w:rPr>
      </w:pPr>
      <w:r>
        <w:rPr>
          <w:rFonts w:hint="eastAsia" w:ascii="ＭＳ 明朝" w:hAnsi="ＭＳ 明朝"/>
          <w:color w:val="auto"/>
        </w:rPr>
        <w:t>を集積、運搬するシステム。グラップル、フォワーダ等を活用。</w:t>
      </w:r>
    </w:p>
    <w:p>
      <w:pPr>
        <w:pStyle w:val="0"/>
        <w:rPr>
          <w:rFonts w:hint="default" w:ascii="ＭＳ 明朝" w:hAnsi="ＭＳ 明朝"/>
          <w:color w:val="auto"/>
        </w:rPr>
      </w:pPr>
      <w:r>
        <w:rPr>
          <w:rFonts w:hint="eastAsia" w:ascii="ＭＳ 明朝" w:hAnsi="ＭＳ 明朝"/>
          <w:color w:val="auto"/>
        </w:rPr>
        <w:t>　　　（注２）「架線系作業システム」とは、林内に架設したワイヤーロープに取り付けた搬器等を移</w:t>
      </w:r>
    </w:p>
    <w:p>
      <w:pPr>
        <w:pStyle w:val="0"/>
        <w:ind w:firstLine="1470" w:firstLineChars="700"/>
        <w:rPr>
          <w:rFonts w:hint="default" w:ascii="ＭＳ 明朝" w:hAnsi="ＭＳ 明朝"/>
          <w:color w:val="auto"/>
        </w:rPr>
      </w:pPr>
      <w:r>
        <w:rPr>
          <w:rFonts w:hint="eastAsia" w:ascii="ＭＳ 明朝" w:hAnsi="ＭＳ 明朝"/>
          <w:color w:val="auto"/>
        </w:rPr>
        <w:t>動させて木材を吊り上げて集積するシステム。タワーヤーダ等を活用。</w:t>
      </w:r>
    </w:p>
    <w:p>
      <w:pPr>
        <w:pStyle w:val="0"/>
        <w:ind w:left="1470" w:leftChars="300" w:hanging="840" w:hangingChars="400"/>
        <w:rPr>
          <w:rFonts w:hint="default" w:ascii="ＭＳ 明朝" w:hAnsi="ＭＳ 明朝"/>
          <w:color w:val="auto"/>
        </w:rPr>
      </w:pPr>
      <w:r>
        <w:rPr>
          <w:rFonts w:hint="eastAsia" w:ascii="ＭＳ 明朝" w:hAnsi="ＭＳ 明朝"/>
          <w:color w:val="auto"/>
        </w:rPr>
        <w:t>（注３）『急傾斜地』の＜＞書きは、広葉樹の導入による針広混交林化など育成複層林へ誘導する森林における路網密度</w:t>
      </w:r>
    </w:p>
    <w:p>
      <w:pPr>
        <w:pStyle w:val="0"/>
        <w:rPr>
          <w:rFonts w:hint="default" w:ascii="ＭＳ 明朝" w:hAnsi="ＭＳ 明朝"/>
          <w:color w:val="auto"/>
        </w:rPr>
      </w:pPr>
    </w:p>
    <w:p>
      <w:pPr>
        <w:pStyle w:val="0"/>
        <w:ind w:left="720" w:firstLine="210" w:firstLineChars="100"/>
        <w:rPr>
          <w:rFonts w:hint="default" w:ascii="ＭＳ 明朝" w:hAnsi="ＭＳ 明朝"/>
          <w:color w:val="auto"/>
        </w:rPr>
      </w:pPr>
      <w:r>
        <w:rPr>
          <w:rFonts w:hint="eastAsia" w:ascii="ＭＳ 明朝" w:hAnsi="ＭＳ 明朝"/>
          <w:color w:val="auto"/>
        </w:rPr>
        <w:t>なお、本表は木材搬出予定箇所で路網を整備する際の目安として適用するものであり、施業を行わない箇所、伐採や搬出を伴わない施業（造林、保育）を行う箇所に適用するものではありません。</w:t>
      </w:r>
    </w:p>
    <w:p>
      <w:pPr>
        <w:pStyle w:val="0"/>
        <w:ind w:left="720" w:firstLine="210" w:firstLineChars="100"/>
        <w:rPr>
          <w:rFonts w:hint="default" w:ascii="ＭＳ 明朝" w:hAnsi="ＭＳ 明朝"/>
          <w:color w:val="auto"/>
        </w:rPr>
      </w:pPr>
      <w:r>
        <w:rPr>
          <w:rFonts w:hint="eastAsia" w:ascii="ＭＳ 明朝" w:hAnsi="ＭＳ 明朝"/>
          <w:color w:val="auto"/>
        </w:rPr>
        <w:t>作業システムについては、間伐等の素材生産の低コスト化及び高効率化を図るために、高性能林業機械の性能を最大限に発揮させることに主眼を置いた労働生産性の向上が不可欠となります。</w:t>
      </w:r>
    </w:p>
    <w:p>
      <w:pPr>
        <w:pStyle w:val="0"/>
        <w:ind w:left="720" w:firstLine="210" w:firstLineChars="100"/>
        <w:rPr>
          <w:rFonts w:hint="default" w:ascii="ＭＳ 明朝" w:hAnsi="ＭＳ 明朝"/>
          <w:color w:val="auto"/>
        </w:rPr>
      </w:pPr>
      <w:r>
        <w:rPr>
          <w:rFonts w:hint="eastAsia" w:ascii="ＭＳ 明朝" w:hAnsi="ＭＳ 明朝"/>
          <w:color w:val="auto"/>
        </w:rPr>
        <w:t>このため、機械の性能に応じ一定規模以上の事業量の安定的な確保や、機械作業に適合した高密度の路網、工程全体を通じて生産性が高まるような人員や機械の配置など、地域においてそれらを総合的に組み合わせた低コスト作業システムを構築していく必要があります。</w:t>
      </w:r>
    </w:p>
    <w:p>
      <w:pPr>
        <w:pStyle w:val="0"/>
        <w:ind w:left="720" w:firstLine="210" w:firstLineChars="100"/>
        <w:rPr>
          <w:rFonts w:hint="default" w:ascii="ＭＳ 明朝" w:hAnsi="ＭＳ 明朝"/>
          <w:color w:val="auto"/>
        </w:rPr>
      </w:pPr>
      <w:r>
        <w:rPr>
          <w:rFonts w:hint="eastAsia" w:ascii="ＭＳ 明朝" w:hAnsi="ＭＳ 明朝"/>
          <w:color w:val="auto"/>
        </w:rPr>
        <w:t>特に作業全体の効率性を左右する木寄せ・集材工程の効率化を図ることが重要であることから、次の表を目安として主にグラップル、フォワーダ等の車両系林業機械に適合させる形で、輸送距離や輸送量を勘案し、路網をそれぞれの役割に応じて組み合わせ、傾斜等に応じた密度により適切に配置することとします。</w:t>
      </w:r>
    </w:p>
    <w:p>
      <w:pPr>
        <w:pStyle w:val="0"/>
        <w:ind w:left="720" w:firstLine="210" w:firstLineChars="100"/>
        <w:rPr>
          <w:rFonts w:hint="default" w:ascii="ＭＳ 明朝" w:hAnsi="ＭＳ 明朝"/>
          <w:color w:val="auto"/>
        </w:rPr>
      </w:pP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2127"/>
        <w:gridCol w:w="2268"/>
        <w:gridCol w:w="1559"/>
        <w:gridCol w:w="2693"/>
      </w:tblGrid>
      <w:tr>
        <w:trPr>
          <w:trHeight w:val="300" w:hRule="atLeast"/>
        </w:trPr>
        <w:tc>
          <w:tcPr>
            <w:tcW w:w="1134" w:type="dxa"/>
            <w:vAlign w:val="center"/>
          </w:tcPr>
          <w:p>
            <w:pPr>
              <w:pStyle w:val="0"/>
              <w:jc w:val="center"/>
              <w:rPr>
                <w:rFonts w:hint="default" w:ascii="ＭＳ 明朝" w:hAnsi="ＭＳ 明朝"/>
                <w:color w:val="auto"/>
              </w:rPr>
            </w:pPr>
            <w:r>
              <w:rPr>
                <w:rFonts w:hint="eastAsia" w:ascii="ＭＳ 明朝" w:hAnsi="ＭＳ 明朝"/>
                <w:color w:val="auto"/>
              </w:rPr>
              <w:t>傾斜区分</w:t>
            </w:r>
          </w:p>
        </w:tc>
        <w:tc>
          <w:tcPr>
            <w:tcW w:w="2127" w:type="dxa"/>
            <w:vAlign w:val="center"/>
          </w:tcPr>
          <w:p>
            <w:pPr>
              <w:pStyle w:val="0"/>
              <w:jc w:val="center"/>
              <w:rPr>
                <w:rFonts w:hint="default" w:ascii="ＭＳ 明朝" w:hAnsi="ＭＳ 明朝"/>
                <w:color w:val="auto"/>
              </w:rPr>
            </w:pPr>
            <w:r>
              <w:rPr>
                <w:rFonts w:hint="eastAsia" w:ascii="ＭＳ 明朝" w:hAnsi="ＭＳ 明朝"/>
                <w:color w:val="auto"/>
              </w:rPr>
              <w:t>伐倒</w:t>
            </w:r>
          </w:p>
        </w:tc>
        <w:tc>
          <w:tcPr>
            <w:tcW w:w="2268" w:type="dxa"/>
            <w:vAlign w:val="center"/>
          </w:tcPr>
          <w:p>
            <w:pPr>
              <w:pStyle w:val="0"/>
              <w:jc w:val="center"/>
              <w:rPr>
                <w:rFonts w:hint="default" w:ascii="ＭＳ 明朝" w:hAnsi="ＭＳ 明朝"/>
                <w:color w:val="auto"/>
              </w:rPr>
            </w:pPr>
            <w:r>
              <w:rPr>
                <w:rFonts w:hint="eastAsia" w:ascii="ＭＳ 明朝" w:hAnsi="ＭＳ 明朝"/>
                <w:color w:val="auto"/>
              </w:rPr>
              <w:t>集材《木寄せ》</w:t>
            </w:r>
          </w:p>
        </w:tc>
        <w:tc>
          <w:tcPr>
            <w:tcW w:w="1559" w:type="dxa"/>
            <w:vAlign w:val="center"/>
          </w:tcPr>
          <w:p>
            <w:pPr>
              <w:pStyle w:val="0"/>
              <w:jc w:val="center"/>
              <w:rPr>
                <w:rFonts w:hint="default" w:ascii="ＭＳ 明朝" w:hAnsi="ＭＳ 明朝"/>
                <w:color w:val="auto"/>
              </w:rPr>
            </w:pPr>
            <w:r>
              <w:rPr>
                <w:rFonts w:hint="eastAsia" w:ascii="ＭＳ 明朝" w:hAnsi="ＭＳ 明朝"/>
                <w:color w:val="auto"/>
              </w:rPr>
              <w:t>造材</w:t>
            </w:r>
          </w:p>
        </w:tc>
        <w:tc>
          <w:tcPr>
            <w:tcW w:w="2693" w:type="dxa"/>
            <w:vAlign w:val="center"/>
          </w:tcPr>
          <w:p>
            <w:pPr>
              <w:pStyle w:val="0"/>
              <w:jc w:val="center"/>
              <w:rPr>
                <w:rFonts w:hint="default" w:ascii="ＭＳ 明朝" w:hAnsi="ＭＳ 明朝"/>
                <w:color w:val="auto"/>
              </w:rPr>
            </w:pPr>
            <w:r>
              <w:rPr>
                <w:rFonts w:hint="eastAsia" w:ascii="ＭＳ 明朝" w:hAnsi="ＭＳ 明朝"/>
                <w:color w:val="auto"/>
              </w:rPr>
              <w:t>巻立て</w:t>
            </w:r>
          </w:p>
        </w:tc>
      </w:tr>
      <w:tr>
        <w:trPr>
          <w:trHeight w:val="279" w:hRule="atLeast"/>
        </w:trPr>
        <w:tc>
          <w:tcPr>
            <w:tcW w:w="1134" w:type="dxa"/>
            <w:vMerge w:val="restart"/>
            <w:vAlign w:val="top"/>
          </w:tcPr>
          <w:p>
            <w:pPr>
              <w:pStyle w:val="0"/>
              <w:rPr>
                <w:rFonts w:hint="default" w:ascii="ＭＳ 明朝" w:hAnsi="ＭＳ 明朝"/>
                <w:color w:val="auto"/>
                <w:sz w:val="20"/>
              </w:rPr>
            </w:pPr>
            <w:r>
              <w:rPr>
                <w:rFonts w:hint="eastAsia" w:ascii="ＭＳ 明朝" w:hAnsi="ＭＳ 明朝"/>
                <w:color w:val="auto"/>
                <w:sz w:val="20"/>
              </w:rPr>
              <w:t>緩傾斜地</w:t>
            </w:r>
          </w:p>
          <w:p>
            <w:pPr>
              <w:pStyle w:val="0"/>
              <w:rPr>
                <w:rFonts w:hint="default" w:ascii="ＭＳ 明朝" w:hAnsi="ＭＳ 明朝"/>
                <w:color w:val="auto"/>
                <w:sz w:val="20"/>
              </w:rPr>
            </w:pPr>
            <w:r>
              <w:rPr>
                <w:rFonts w:hint="eastAsia" w:ascii="ＭＳ 明朝" w:hAnsi="ＭＳ 明朝"/>
                <w:color w:val="auto"/>
                <w:sz w:val="20"/>
              </w:rPr>
              <w:t>(0</w:t>
            </w:r>
            <w:r>
              <w:rPr>
                <w:rFonts w:hint="eastAsia" w:ascii="ＭＳ 明朝" w:hAnsi="ＭＳ 明朝"/>
                <w:color w:val="auto"/>
                <w:sz w:val="20"/>
              </w:rPr>
              <w:t>°</w:t>
            </w:r>
          </w:p>
          <w:p>
            <w:pPr>
              <w:pStyle w:val="0"/>
              <w:ind w:firstLine="200" w:firstLineChars="100"/>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15</w:t>
            </w:r>
            <w:r>
              <w:rPr>
                <w:rFonts w:hint="eastAsia" w:ascii="ＭＳ 明朝" w:hAnsi="ＭＳ 明朝"/>
                <w:color w:val="auto"/>
                <w:sz w:val="20"/>
              </w:rPr>
              <w:t>°</w:t>
            </w:r>
            <w:r>
              <w:rPr>
                <w:rFonts w:hint="eastAsia" w:ascii="ＭＳ 明朝" w:hAnsi="ＭＳ 明朝"/>
                <w:color w:val="auto"/>
                <w:sz w:val="20"/>
              </w:rPr>
              <w:t>)</w:t>
            </w:r>
          </w:p>
          <w:p>
            <w:pPr>
              <w:pStyle w:val="0"/>
              <w:rPr>
                <w:rFonts w:hint="default" w:ascii="ＭＳ 明朝" w:hAnsi="ＭＳ 明朝"/>
                <w:color w:val="auto"/>
                <w:sz w:val="20"/>
              </w:rPr>
            </w:pPr>
          </w:p>
          <w:p>
            <w:pPr>
              <w:pStyle w:val="0"/>
              <w:ind w:left="204"/>
              <w:rPr>
                <w:rFonts w:hint="default" w:ascii="ＭＳ 明朝" w:hAnsi="ＭＳ 明朝"/>
                <w:color w:val="auto"/>
                <w:sz w:val="20"/>
              </w:rPr>
            </w:pPr>
          </w:p>
          <w:p>
            <w:pPr>
              <w:pStyle w:val="0"/>
              <w:ind w:left="204"/>
              <w:rPr>
                <w:rFonts w:hint="default" w:ascii="ＭＳ 明朝" w:hAnsi="ＭＳ 明朝"/>
                <w:color w:val="auto"/>
                <w:sz w:val="20"/>
              </w:rPr>
            </w:pPr>
          </w:p>
          <w:p>
            <w:pPr>
              <w:pStyle w:val="0"/>
              <w:rPr>
                <w:rFonts w:hint="default" w:ascii="ＭＳ 明朝" w:hAnsi="ＭＳ 明朝"/>
                <w:color w:val="auto"/>
                <w:sz w:val="20"/>
              </w:rPr>
            </w:pPr>
          </w:p>
        </w:tc>
        <w:tc>
          <w:tcPr>
            <w:tcW w:w="2127" w:type="dxa"/>
            <w:vMerge w:val="restart"/>
            <w:vAlign w:val="center"/>
          </w:tcPr>
          <w:p>
            <w:pPr>
              <w:pStyle w:val="0"/>
              <w:widowControl w:val="1"/>
              <w:rPr>
                <w:rFonts w:hint="default" w:ascii="ＭＳ 明朝" w:hAnsi="ＭＳ 明朝"/>
                <w:color w:val="auto"/>
                <w:sz w:val="20"/>
              </w:rPr>
            </w:pPr>
            <w:r>
              <w:rPr>
                <w:rFonts w:hint="eastAsia" w:ascii="ＭＳ 明朝" w:hAnsi="ＭＳ 明朝"/>
                <w:color w:val="auto"/>
                <w:sz w:val="20"/>
              </w:rPr>
              <w:t>フェラーバンチャ</w:t>
            </w:r>
          </w:p>
        </w:tc>
        <w:tc>
          <w:tcPr>
            <w:tcW w:w="2268" w:type="dxa"/>
            <w:vAlign w:val="center"/>
          </w:tcPr>
          <w:p>
            <w:pPr>
              <w:pStyle w:val="0"/>
              <w:rPr>
                <w:rFonts w:hint="default" w:ascii="ＭＳ 明朝" w:hAnsi="ＭＳ 明朝"/>
                <w:color w:val="auto"/>
                <w:sz w:val="20"/>
              </w:rPr>
            </w:pPr>
            <w:r>
              <w:rPr>
                <w:rFonts w:hint="eastAsia" w:ascii="ＭＳ 明朝" w:hAnsi="ＭＳ 明朝"/>
                <w:color w:val="auto"/>
                <w:sz w:val="20"/>
              </w:rPr>
              <w:t>トラクタ【全木集材】</w:t>
            </w:r>
          </w:p>
        </w:tc>
        <w:tc>
          <w:tcPr>
            <w:tcW w:w="1559" w:type="dxa"/>
            <w:vMerge w:val="restart"/>
            <w:vAlign w:val="center"/>
          </w:tcPr>
          <w:p>
            <w:pPr>
              <w:pStyle w:val="0"/>
              <w:rPr>
                <w:rFonts w:hint="default" w:ascii="ＭＳ 明朝" w:hAnsi="ＭＳ 明朝"/>
                <w:color w:val="auto"/>
                <w:sz w:val="20"/>
              </w:rPr>
            </w:pPr>
            <w:r>
              <w:rPr>
                <w:rFonts w:hint="eastAsia" w:ascii="ＭＳ 明朝" w:hAnsi="ＭＳ 明朝"/>
                <w:color w:val="auto"/>
                <w:sz w:val="20"/>
              </w:rPr>
              <w:t>ハーベスタ・　プロセッサ</w:t>
            </w: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グラップルローダ</w:t>
            </w:r>
          </w:p>
        </w:tc>
      </w:tr>
      <w:tr>
        <w:trPr>
          <w:trHeight w:val="300" w:hRule="atLeast"/>
        </w:trPr>
        <w:tc>
          <w:tcPr>
            <w:tcW w:w="1134" w:type="dxa"/>
            <w:vMerge w:val="continue"/>
            <w:vAlign w:val="top"/>
          </w:tcPr>
          <w:p>
            <w:pPr>
              <w:pStyle w:val="0"/>
              <w:ind w:left="204"/>
              <w:rPr>
                <w:rFonts w:hint="default" w:ascii="ＭＳ 明朝" w:hAnsi="ＭＳ 明朝"/>
                <w:sz w:val="20"/>
              </w:rPr>
            </w:pPr>
          </w:p>
        </w:tc>
        <w:tc>
          <w:tcPr>
            <w:tcW w:w="2127" w:type="dxa"/>
            <w:vMerge w:val="continue"/>
            <w:vAlign w:val="center"/>
          </w:tcPr>
          <w:p>
            <w:pPr>
              <w:pStyle w:val="0"/>
              <w:widowControl w:val="1"/>
              <w:rPr>
                <w:rFonts w:hint="default" w:ascii="ＭＳ 明朝" w:hAnsi="ＭＳ 明朝"/>
                <w:sz w:val="20"/>
              </w:rPr>
            </w:pPr>
          </w:p>
        </w:tc>
        <w:tc>
          <w:tcPr>
            <w:tcW w:w="2268" w:type="dxa"/>
            <w:vAlign w:val="center"/>
          </w:tcPr>
          <w:p>
            <w:pPr>
              <w:pStyle w:val="0"/>
              <w:rPr>
                <w:rFonts w:hint="default" w:ascii="ＭＳ 明朝" w:hAnsi="ＭＳ 明朝"/>
                <w:color w:val="auto"/>
                <w:sz w:val="20"/>
              </w:rPr>
            </w:pPr>
            <w:r>
              <w:rPr>
                <w:rFonts w:hint="eastAsia" w:ascii="ＭＳ 明朝" w:hAnsi="ＭＳ 明朝"/>
                <w:color w:val="auto"/>
                <w:sz w:val="20"/>
              </w:rPr>
              <w:t>《グラップルローダ》</w:t>
            </w:r>
          </w:p>
        </w:tc>
        <w:tc>
          <w:tcPr>
            <w:tcW w:w="1559" w:type="dxa"/>
            <w:vMerge w:val="continue"/>
            <w:vAlign w:val="center"/>
          </w:tcPr>
          <w:p>
            <w:pPr>
              <w:pStyle w:val="0"/>
              <w:rPr>
                <w:rFonts w:hint="default" w:ascii="ＭＳ 明朝" w:hAnsi="ＭＳ 明朝"/>
                <w:sz w:val="20"/>
              </w:rPr>
            </w:pP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（ハーベスタ・プロセッサ）</w:t>
            </w:r>
          </w:p>
        </w:tc>
      </w:tr>
      <w:tr>
        <w:trPr>
          <w:trHeight w:val="300" w:hRule="atLeast"/>
        </w:trPr>
        <w:tc>
          <w:tcPr>
            <w:tcW w:w="1134" w:type="dxa"/>
            <w:vMerge w:val="continue"/>
            <w:vAlign w:val="top"/>
          </w:tcPr>
          <w:p>
            <w:pPr>
              <w:pStyle w:val="0"/>
              <w:ind w:left="204"/>
              <w:rPr>
                <w:rFonts w:hint="default" w:ascii="ＭＳ 明朝" w:hAnsi="ＭＳ 明朝"/>
                <w:sz w:val="20"/>
              </w:rPr>
            </w:pPr>
          </w:p>
        </w:tc>
        <w:tc>
          <w:tcPr>
            <w:tcW w:w="2127" w:type="dxa"/>
            <w:vMerge w:val="restart"/>
            <w:vAlign w:val="center"/>
          </w:tcPr>
          <w:p>
            <w:pPr>
              <w:pStyle w:val="0"/>
              <w:widowControl w:val="1"/>
              <w:rPr>
                <w:rFonts w:hint="default" w:ascii="ＭＳ 明朝" w:hAnsi="ＭＳ 明朝"/>
                <w:color w:val="auto"/>
                <w:sz w:val="20"/>
              </w:rPr>
            </w:pPr>
            <w:r>
              <w:rPr>
                <w:rFonts w:hint="eastAsia" w:ascii="ＭＳ 明朝" w:hAnsi="ＭＳ 明朝"/>
                <w:color w:val="auto"/>
                <w:sz w:val="20"/>
              </w:rPr>
              <w:t>フェラーバンチャ</w:t>
            </w:r>
          </w:p>
        </w:tc>
        <w:tc>
          <w:tcPr>
            <w:tcW w:w="2268" w:type="dxa"/>
            <w:vMerge w:val="restart"/>
            <w:vAlign w:val="center"/>
          </w:tcPr>
          <w:p>
            <w:pPr>
              <w:pStyle w:val="0"/>
              <w:widowControl w:val="1"/>
              <w:rPr>
                <w:rFonts w:hint="default" w:ascii="ＭＳ 明朝" w:hAnsi="ＭＳ 明朝"/>
                <w:color w:val="auto"/>
                <w:sz w:val="20"/>
              </w:rPr>
            </w:pPr>
            <w:r>
              <w:rPr>
                <w:rFonts w:hint="eastAsia" w:ascii="ＭＳ 明朝" w:hAnsi="ＭＳ 明朝"/>
                <w:color w:val="auto"/>
                <w:sz w:val="20"/>
              </w:rPr>
              <w:t>スキッダ【全木集材】</w:t>
            </w:r>
          </w:p>
        </w:tc>
        <w:tc>
          <w:tcPr>
            <w:tcW w:w="1559" w:type="dxa"/>
            <w:vMerge w:val="restart"/>
            <w:vAlign w:val="center"/>
          </w:tcPr>
          <w:p>
            <w:pPr>
              <w:pStyle w:val="0"/>
              <w:widowControl w:val="1"/>
              <w:rPr>
                <w:rFonts w:hint="default" w:ascii="ＭＳ 明朝" w:hAnsi="ＭＳ 明朝"/>
                <w:color w:val="auto"/>
                <w:sz w:val="20"/>
              </w:rPr>
            </w:pPr>
            <w:r>
              <w:rPr>
                <w:rFonts w:hint="eastAsia" w:ascii="ＭＳ 明朝" w:hAnsi="ＭＳ 明朝"/>
                <w:color w:val="auto"/>
                <w:sz w:val="20"/>
              </w:rPr>
              <w:t>ハーベスタ・　プロセッサ</w:t>
            </w: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グラップルローダ</w:t>
            </w:r>
          </w:p>
        </w:tc>
      </w:tr>
      <w:tr>
        <w:trPr>
          <w:trHeight w:val="300" w:hRule="atLeast"/>
        </w:trPr>
        <w:tc>
          <w:tcPr>
            <w:tcW w:w="1134" w:type="dxa"/>
            <w:vMerge w:val="continue"/>
            <w:vAlign w:val="top"/>
          </w:tcPr>
          <w:p>
            <w:pPr>
              <w:pStyle w:val="0"/>
              <w:ind w:left="204"/>
              <w:rPr>
                <w:rFonts w:hint="default" w:ascii="ＭＳ 明朝" w:hAnsi="ＭＳ 明朝"/>
                <w:sz w:val="20"/>
              </w:rPr>
            </w:pPr>
          </w:p>
        </w:tc>
        <w:tc>
          <w:tcPr>
            <w:tcW w:w="2127" w:type="dxa"/>
            <w:vMerge w:val="continue"/>
            <w:vAlign w:val="center"/>
          </w:tcPr>
          <w:p>
            <w:pPr>
              <w:pStyle w:val="0"/>
              <w:widowControl w:val="1"/>
              <w:rPr>
                <w:rFonts w:hint="default" w:ascii="ＭＳ 明朝" w:hAnsi="ＭＳ 明朝"/>
                <w:sz w:val="20"/>
              </w:rPr>
            </w:pPr>
          </w:p>
        </w:tc>
        <w:tc>
          <w:tcPr>
            <w:tcW w:w="2268" w:type="dxa"/>
            <w:vMerge w:val="continue"/>
            <w:vAlign w:val="center"/>
          </w:tcPr>
          <w:p>
            <w:pPr>
              <w:pStyle w:val="0"/>
              <w:widowControl w:val="1"/>
              <w:rPr>
                <w:rFonts w:hint="default" w:ascii="ＭＳ 明朝" w:hAnsi="ＭＳ 明朝"/>
                <w:sz w:val="20"/>
              </w:rPr>
            </w:pPr>
          </w:p>
        </w:tc>
        <w:tc>
          <w:tcPr>
            <w:tcW w:w="1559" w:type="dxa"/>
            <w:vMerge w:val="continue"/>
            <w:vAlign w:val="center"/>
          </w:tcPr>
          <w:p>
            <w:pPr>
              <w:pStyle w:val="0"/>
              <w:widowControl w:val="1"/>
              <w:rPr>
                <w:rFonts w:hint="default" w:ascii="ＭＳ 明朝" w:hAnsi="ＭＳ 明朝"/>
                <w:sz w:val="20"/>
              </w:rPr>
            </w:pP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（ハーベスタ・プロセッサ）</w:t>
            </w:r>
          </w:p>
        </w:tc>
      </w:tr>
      <w:tr>
        <w:trPr>
          <w:trHeight w:val="300" w:hRule="atLeast"/>
        </w:trPr>
        <w:tc>
          <w:tcPr>
            <w:tcW w:w="1134" w:type="dxa"/>
            <w:vMerge w:val="continue"/>
            <w:vAlign w:val="top"/>
          </w:tcPr>
          <w:p>
            <w:pPr>
              <w:pStyle w:val="0"/>
              <w:rPr>
                <w:rFonts w:hint="default"/>
              </w:rPr>
            </w:pPr>
          </w:p>
        </w:tc>
        <w:tc>
          <w:tcPr>
            <w:tcW w:w="2127" w:type="dxa"/>
            <w:vMerge w:val="restart"/>
            <w:vAlign w:val="center"/>
          </w:tcPr>
          <w:p>
            <w:pPr>
              <w:pStyle w:val="0"/>
              <w:widowControl w:val="1"/>
              <w:rPr>
                <w:rFonts w:hint="default" w:ascii="ＭＳ 明朝" w:hAnsi="ＭＳ 明朝"/>
                <w:color w:val="auto"/>
                <w:sz w:val="20"/>
              </w:rPr>
            </w:pPr>
            <w:r>
              <w:rPr>
                <w:rFonts w:hint="eastAsia" w:ascii="ＭＳ 明朝" w:hAnsi="ＭＳ 明朝"/>
                <w:color w:val="auto"/>
                <w:sz w:val="20"/>
              </w:rPr>
              <w:t>ハーベスタ</w:t>
            </w:r>
          </w:p>
        </w:tc>
        <w:tc>
          <w:tcPr>
            <w:tcW w:w="2268" w:type="dxa"/>
            <w:vAlign w:val="center"/>
          </w:tcPr>
          <w:p>
            <w:pPr>
              <w:pStyle w:val="0"/>
              <w:rPr>
                <w:rFonts w:hint="default" w:ascii="ＭＳ 明朝" w:hAnsi="ＭＳ 明朝"/>
                <w:color w:val="auto"/>
                <w:sz w:val="20"/>
              </w:rPr>
            </w:pPr>
            <w:r>
              <w:rPr>
                <w:rFonts w:hint="eastAsia" w:ascii="ＭＳ 明朝" w:hAnsi="ＭＳ 明朝"/>
                <w:color w:val="auto"/>
                <w:sz w:val="20"/>
              </w:rPr>
              <w:t>トラクタ【全幹集材】</w:t>
            </w:r>
          </w:p>
        </w:tc>
        <w:tc>
          <w:tcPr>
            <w:tcW w:w="1559" w:type="dxa"/>
            <w:vMerge w:val="restart"/>
            <w:vAlign w:val="center"/>
          </w:tcPr>
          <w:p>
            <w:pPr>
              <w:pStyle w:val="0"/>
              <w:widowControl w:val="1"/>
              <w:rPr>
                <w:rFonts w:hint="default" w:ascii="ＭＳ 明朝" w:hAnsi="ＭＳ 明朝"/>
                <w:color w:val="auto"/>
                <w:sz w:val="20"/>
              </w:rPr>
            </w:pPr>
            <w:r>
              <w:rPr>
                <w:rFonts w:hint="eastAsia" w:ascii="ＭＳ 明朝" w:hAnsi="ＭＳ 明朝"/>
                <w:color w:val="auto"/>
                <w:sz w:val="20"/>
              </w:rPr>
              <w:t>ハーベスタ</w:t>
            </w: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グラップルローダ</w:t>
            </w:r>
          </w:p>
        </w:tc>
      </w:tr>
      <w:tr>
        <w:trPr>
          <w:trHeight w:val="315" w:hRule="atLeast"/>
        </w:trPr>
        <w:tc>
          <w:tcPr>
            <w:tcW w:w="1134" w:type="dxa"/>
            <w:vMerge w:val="continue"/>
            <w:vAlign w:val="top"/>
          </w:tcPr>
          <w:p>
            <w:pPr>
              <w:pStyle w:val="0"/>
              <w:rPr>
                <w:rFonts w:hint="default"/>
              </w:rPr>
            </w:pPr>
          </w:p>
        </w:tc>
        <w:tc>
          <w:tcPr>
            <w:tcW w:w="2127" w:type="dxa"/>
            <w:vMerge w:val="continue"/>
            <w:vAlign w:val="center"/>
          </w:tcPr>
          <w:p>
            <w:pPr>
              <w:pStyle w:val="0"/>
              <w:rPr>
                <w:rFonts w:hint="default"/>
              </w:rPr>
            </w:pPr>
          </w:p>
        </w:tc>
        <w:tc>
          <w:tcPr>
            <w:tcW w:w="2268" w:type="dxa"/>
            <w:vAlign w:val="center"/>
          </w:tcPr>
          <w:p>
            <w:pPr>
              <w:pStyle w:val="0"/>
              <w:rPr>
                <w:rFonts w:hint="default" w:ascii="ＭＳ 明朝" w:hAnsi="ＭＳ 明朝"/>
                <w:color w:val="auto"/>
                <w:sz w:val="20"/>
              </w:rPr>
            </w:pPr>
            <w:r>
              <w:rPr>
                <w:rFonts w:hint="eastAsia" w:ascii="ＭＳ 明朝" w:hAnsi="ＭＳ 明朝"/>
                <w:color w:val="auto"/>
                <w:sz w:val="20"/>
              </w:rPr>
              <w:t>《グラップルローダ》</w:t>
            </w:r>
          </w:p>
        </w:tc>
        <w:tc>
          <w:tcPr>
            <w:tcW w:w="1559" w:type="dxa"/>
            <w:vMerge w:val="continue"/>
            <w:vAlign w:val="center"/>
          </w:tcPr>
          <w:p>
            <w:pPr>
              <w:pStyle w:val="0"/>
              <w:rPr>
                <w:rFonts w:hint="default"/>
              </w:rPr>
            </w:pP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（ハーベスタ）</w:t>
            </w:r>
          </w:p>
        </w:tc>
      </w:tr>
      <w:tr>
        <w:trPr>
          <w:trHeight w:val="257" w:hRule="atLeast"/>
        </w:trPr>
        <w:tc>
          <w:tcPr>
            <w:tcW w:w="1134" w:type="dxa"/>
            <w:vMerge w:val="continue"/>
            <w:vAlign w:val="top"/>
          </w:tcPr>
          <w:p>
            <w:pPr>
              <w:pStyle w:val="0"/>
              <w:rPr>
                <w:rFonts w:hint="default"/>
              </w:rPr>
            </w:pPr>
          </w:p>
        </w:tc>
        <w:tc>
          <w:tcPr>
            <w:tcW w:w="2127" w:type="dxa"/>
            <w:vAlign w:val="center"/>
          </w:tcPr>
          <w:p>
            <w:pPr>
              <w:pStyle w:val="0"/>
              <w:rPr>
                <w:rFonts w:hint="default" w:ascii="ＭＳ 明朝" w:hAnsi="ＭＳ 明朝"/>
                <w:color w:val="auto"/>
                <w:sz w:val="20"/>
              </w:rPr>
            </w:pPr>
            <w:r>
              <w:rPr>
                <w:rFonts w:hint="eastAsia" w:ascii="ＭＳ 明朝" w:hAnsi="ＭＳ 明朝"/>
                <w:color w:val="auto"/>
                <w:sz w:val="20"/>
              </w:rPr>
              <w:t>ハーベスタ</w:t>
            </w:r>
          </w:p>
        </w:tc>
        <w:tc>
          <w:tcPr>
            <w:tcW w:w="2268" w:type="dxa"/>
            <w:vAlign w:val="center"/>
          </w:tcPr>
          <w:p>
            <w:pPr>
              <w:pStyle w:val="0"/>
              <w:rPr>
                <w:rFonts w:hint="default" w:ascii="ＭＳ 明朝" w:hAnsi="ＭＳ 明朝"/>
                <w:color w:val="auto"/>
                <w:sz w:val="20"/>
              </w:rPr>
            </w:pPr>
            <w:r>
              <w:rPr>
                <w:rFonts w:hint="eastAsia" w:ascii="ＭＳ 明朝" w:hAnsi="ＭＳ 明朝"/>
                <w:color w:val="auto"/>
                <w:sz w:val="20"/>
              </w:rPr>
              <w:t>フォワーダ【短幹集材】</w:t>
            </w:r>
          </w:p>
        </w:tc>
        <w:tc>
          <w:tcPr>
            <w:tcW w:w="1559" w:type="dxa"/>
            <w:vAlign w:val="center"/>
          </w:tcPr>
          <w:p>
            <w:pPr>
              <w:pStyle w:val="0"/>
              <w:rPr>
                <w:rFonts w:hint="default" w:ascii="ＭＳ 明朝" w:hAnsi="ＭＳ 明朝"/>
                <w:color w:val="auto"/>
                <w:sz w:val="20"/>
              </w:rPr>
            </w:pPr>
            <w:r>
              <w:rPr>
                <w:rFonts w:hint="eastAsia" w:ascii="ＭＳ 明朝" w:hAnsi="ＭＳ 明朝"/>
                <w:color w:val="auto"/>
                <w:sz w:val="20"/>
              </w:rPr>
              <w:t>（ハーベスタ）</w:t>
            </w: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（フォワーダ）</w:t>
            </w:r>
          </w:p>
        </w:tc>
      </w:tr>
      <w:tr>
        <w:trPr>
          <w:trHeight w:val="330" w:hRule="atLeast"/>
        </w:trPr>
        <w:tc>
          <w:tcPr>
            <w:tcW w:w="1134" w:type="dxa"/>
            <w:vMerge w:val="restart"/>
            <w:vAlign w:val="top"/>
          </w:tcPr>
          <w:p>
            <w:pPr>
              <w:pStyle w:val="0"/>
              <w:rPr>
                <w:rFonts w:hint="default" w:ascii="ＭＳ 明朝" w:hAnsi="ＭＳ 明朝"/>
                <w:color w:val="auto"/>
                <w:sz w:val="20"/>
              </w:rPr>
            </w:pPr>
            <w:r>
              <w:rPr>
                <w:rFonts w:hint="eastAsia" w:ascii="ＭＳ 明朝" w:hAnsi="ＭＳ 明朝"/>
                <w:color w:val="auto"/>
                <w:sz w:val="20"/>
              </w:rPr>
              <w:t>中傾斜地</w:t>
            </w:r>
          </w:p>
          <w:p>
            <w:pPr>
              <w:pStyle w:val="0"/>
              <w:ind w:left="200" w:hanging="200" w:hangingChars="100"/>
              <w:rPr>
                <w:rFonts w:hint="default" w:ascii="ＭＳ 明朝" w:hAnsi="ＭＳ 明朝"/>
                <w:color w:val="auto"/>
                <w:sz w:val="20"/>
              </w:rPr>
            </w:pPr>
            <w:r>
              <w:rPr>
                <w:rFonts w:hint="eastAsia" w:ascii="ＭＳ 明朝" w:hAnsi="ＭＳ 明朝"/>
                <w:color w:val="auto"/>
                <w:sz w:val="20"/>
              </w:rPr>
              <w:t>(15</w:t>
            </w:r>
            <w:r>
              <w:rPr>
                <w:rFonts w:hint="eastAsia" w:ascii="ＭＳ 明朝" w:hAnsi="ＭＳ 明朝"/>
                <w:color w:val="auto"/>
                <w:sz w:val="20"/>
              </w:rPr>
              <w:t>°</w:t>
            </w:r>
          </w:p>
          <w:p>
            <w:pPr>
              <w:pStyle w:val="0"/>
              <w:ind w:left="200"/>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30</w:t>
            </w:r>
            <w:r>
              <w:rPr>
                <w:rFonts w:hint="eastAsia" w:ascii="ＭＳ 明朝" w:hAnsi="ＭＳ 明朝"/>
                <w:color w:val="auto"/>
                <w:sz w:val="20"/>
              </w:rPr>
              <w:t>°</w:t>
            </w:r>
            <w:r>
              <w:rPr>
                <w:rFonts w:hint="eastAsia" w:ascii="ＭＳ 明朝" w:hAnsi="ＭＳ 明朝"/>
                <w:color w:val="auto"/>
                <w:sz w:val="20"/>
              </w:rPr>
              <w:t>)</w:t>
            </w:r>
          </w:p>
        </w:tc>
        <w:tc>
          <w:tcPr>
            <w:tcW w:w="2127" w:type="dxa"/>
            <w:vMerge w:val="restart"/>
            <w:vAlign w:val="center"/>
          </w:tcPr>
          <w:p>
            <w:pPr>
              <w:pStyle w:val="0"/>
              <w:rPr>
                <w:rFonts w:hint="default" w:ascii="ＭＳ 明朝" w:hAnsi="ＭＳ 明朝"/>
                <w:color w:val="auto"/>
                <w:sz w:val="20"/>
              </w:rPr>
            </w:pPr>
            <w:r>
              <w:rPr>
                <w:rFonts w:hint="eastAsia" w:ascii="ＭＳ 明朝" w:hAnsi="ＭＳ 明朝"/>
                <w:color w:val="auto"/>
                <w:sz w:val="20"/>
              </w:rPr>
              <w:t>チェーンソー</w:t>
            </w:r>
          </w:p>
        </w:tc>
        <w:tc>
          <w:tcPr>
            <w:tcW w:w="2268" w:type="dxa"/>
            <w:vAlign w:val="center"/>
          </w:tcPr>
          <w:p>
            <w:pPr>
              <w:pStyle w:val="0"/>
              <w:rPr>
                <w:rFonts w:hint="default" w:ascii="ＭＳ 明朝" w:hAnsi="ＭＳ 明朝"/>
                <w:color w:val="auto"/>
                <w:sz w:val="20"/>
              </w:rPr>
            </w:pPr>
            <w:r>
              <w:rPr>
                <w:rFonts w:hint="eastAsia" w:ascii="ＭＳ 明朝" w:hAnsi="ＭＳ 明朝"/>
                <w:color w:val="auto"/>
                <w:sz w:val="20"/>
              </w:rPr>
              <w:t>トラクタ【全木集材】</w:t>
            </w:r>
          </w:p>
        </w:tc>
        <w:tc>
          <w:tcPr>
            <w:tcW w:w="1559" w:type="dxa"/>
            <w:vMerge w:val="restart"/>
            <w:vAlign w:val="center"/>
          </w:tcPr>
          <w:p>
            <w:pPr>
              <w:pStyle w:val="0"/>
              <w:rPr>
                <w:rFonts w:hint="default" w:ascii="ＭＳ 明朝" w:hAnsi="ＭＳ 明朝"/>
                <w:color w:val="auto"/>
                <w:sz w:val="20"/>
              </w:rPr>
            </w:pPr>
            <w:r>
              <w:rPr>
                <w:rFonts w:hint="eastAsia" w:ascii="ＭＳ 明朝" w:hAnsi="ＭＳ 明朝"/>
                <w:color w:val="auto"/>
                <w:sz w:val="20"/>
              </w:rPr>
              <w:t>ハーベスタ・　プロセッサ</w:t>
            </w: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グラップルローダ</w:t>
            </w:r>
          </w:p>
        </w:tc>
      </w:tr>
      <w:tr>
        <w:trPr>
          <w:trHeight w:val="294" w:hRule="atLeast"/>
        </w:trPr>
        <w:tc>
          <w:tcPr>
            <w:tcW w:w="1134" w:type="dxa"/>
            <w:vMerge w:val="continue"/>
            <w:vAlign w:val="top"/>
          </w:tcPr>
          <w:p>
            <w:pPr>
              <w:pStyle w:val="0"/>
              <w:ind w:left="204"/>
              <w:rPr>
                <w:rFonts w:hint="default" w:ascii="ＭＳ 明朝" w:hAnsi="ＭＳ 明朝"/>
                <w:sz w:val="20"/>
              </w:rPr>
            </w:pPr>
          </w:p>
        </w:tc>
        <w:tc>
          <w:tcPr>
            <w:tcW w:w="2127" w:type="dxa"/>
            <w:vMerge w:val="continue"/>
            <w:vAlign w:val="center"/>
          </w:tcPr>
          <w:p>
            <w:pPr>
              <w:pStyle w:val="0"/>
              <w:rPr>
                <w:rFonts w:hint="default" w:ascii="ＭＳ 明朝" w:hAnsi="ＭＳ 明朝"/>
                <w:sz w:val="20"/>
              </w:rPr>
            </w:pPr>
          </w:p>
        </w:tc>
        <w:tc>
          <w:tcPr>
            <w:tcW w:w="2268" w:type="dxa"/>
            <w:vAlign w:val="center"/>
          </w:tcPr>
          <w:p>
            <w:pPr>
              <w:pStyle w:val="0"/>
              <w:rPr>
                <w:rFonts w:hint="default" w:ascii="ＭＳ 明朝" w:hAnsi="ＭＳ 明朝"/>
                <w:color w:val="auto"/>
                <w:sz w:val="20"/>
              </w:rPr>
            </w:pPr>
            <w:r>
              <w:rPr>
                <w:rFonts w:hint="eastAsia" w:ascii="ＭＳ 明朝" w:hAnsi="ＭＳ 明朝"/>
                <w:color w:val="auto"/>
                <w:sz w:val="20"/>
              </w:rPr>
              <w:t>《グラップルローダ》</w:t>
            </w:r>
          </w:p>
        </w:tc>
        <w:tc>
          <w:tcPr>
            <w:tcW w:w="1559" w:type="dxa"/>
            <w:vMerge w:val="continue"/>
            <w:vAlign w:val="center"/>
          </w:tcPr>
          <w:p>
            <w:pPr>
              <w:pStyle w:val="0"/>
              <w:widowControl w:val="1"/>
              <w:rPr>
                <w:rFonts w:hint="default" w:ascii="ＭＳ 明朝" w:hAnsi="ＭＳ 明朝"/>
                <w:sz w:val="20"/>
              </w:rPr>
            </w:pP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（ハーベスタ・プロセッサ）</w:t>
            </w:r>
          </w:p>
        </w:tc>
      </w:tr>
      <w:tr>
        <w:trPr>
          <w:trHeight w:val="315" w:hRule="atLeast"/>
        </w:trPr>
        <w:tc>
          <w:tcPr>
            <w:tcW w:w="1134" w:type="dxa"/>
            <w:vMerge w:val="restart"/>
            <w:vAlign w:val="top"/>
          </w:tcPr>
          <w:p>
            <w:pPr>
              <w:pStyle w:val="0"/>
              <w:rPr>
                <w:rFonts w:hint="default" w:ascii="ＭＳ 明朝" w:hAnsi="ＭＳ 明朝"/>
                <w:color w:val="auto"/>
                <w:sz w:val="20"/>
              </w:rPr>
            </w:pPr>
            <w:r>
              <w:rPr>
                <w:rFonts w:hint="eastAsia" w:ascii="ＭＳ 明朝" w:hAnsi="ＭＳ 明朝"/>
                <w:color w:val="auto"/>
                <w:sz w:val="20"/>
              </w:rPr>
              <w:t>急傾斜地</w:t>
            </w:r>
          </w:p>
          <w:p>
            <w:pPr>
              <w:pStyle w:val="0"/>
              <w:rPr>
                <w:rFonts w:hint="default" w:ascii="ＭＳ 明朝" w:hAnsi="ＭＳ 明朝"/>
                <w:color w:val="auto"/>
                <w:sz w:val="20"/>
              </w:rPr>
            </w:pPr>
            <w:r>
              <w:rPr>
                <w:rFonts w:hint="eastAsia" w:ascii="ＭＳ 明朝" w:hAnsi="ＭＳ 明朝"/>
                <w:color w:val="auto"/>
                <w:sz w:val="20"/>
              </w:rPr>
              <w:t>(30</w:t>
            </w:r>
            <w:r>
              <w:rPr>
                <w:rFonts w:hint="eastAsia" w:ascii="ＭＳ 明朝" w:hAnsi="ＭＳ 明朝"/>
                <w:color w:val="auto"/>
                <w:sz w:val="20"/>
              </w:rPr>
              <w:t>°～</w:t>
            </w:r>
            <w:r>
              <w:rPr>
                <w:rFonts w:hint="eastAsia" w:ascii="ＭＳ 明朝" w:hAnsi="ＭＳ 明朝"/>
                <w:color w:val="auto"/>
                <w:sz w:val="20"/>
              </w:rPr>
              <w:t>)</w:t>
            </w:r>
          </w:p>
        </w:tc>
        <w:tc>
          <w:tcPr>
            <w:tcW w:w="2127" w:type="dxa"/>
            <w:vMerge w:val="restart"/>
            <w:vAlign w:val="center"/>
          </w:tcPr>
          <w:p>
            <w:pPr>
              <w:pStyle w:val="0"/>
              <w:rPr>
                <w:rFonts w:hint="default" w:ascii="ＭＳ 明朝" w:hAnsi="ＭＳ 明朝"/>
                <w:color w:val="auto"/>
                <w:sz w:val="20"/>
              </w:rPr>
            </w:pPr>
            <w:r>
              <w:rPr>
                <w:rFonts w:hint="eastAsia" w:ascii="ＭＳ 明朝" w:hAnsi="ＭＳ 明朝"/>
                <w:color w:val="auto"/>
                <w:sz w:val="20"/>
              </w:rPr>
              <w:t>チェーンソー</w:t>
            </w:r>
          </w:p>
        </w:tc>
        <w:tc>
          <w:tcPr>
            <w:tcW w:w="2268" w:type="dxa"/>
            <w:vMerge w:val="restart"/>
            <w:vAlign w:val="center"/>
          </w:tcPr>
          <w:p>
            <w:pPr>
              <w:pStyle w:val="0"/>
              <w:rPr>
                <w:rFonts w:hint="default" w:ascii="ＭＳ 明朝" w:hAnsi="ＭＳ 明朝"/>
                <w:color w:val="auto"/>
                <w:sz w:val="20"/>
              </w:rPr>
            </w:pPr>
            <w:r>
              <w:rPr>
                <w:rFonts w:hint="eastAsia" w:ascii="ＭＳ 明朝" w:hAnsi="ＭＳ 明朝"/>
                <w:color w:val="auto"/>
                <w:sz w:val="20"/>
              </w:rPr>
              <w:t>スイングヤーダ</w:t>
            </w:r>
          </w:p>
          <w:p>
            <w:pPr>
              <w:pStyle w:val="0"/>
              <w:ind w:firstLine="800" w:firstLineChars="400"/>
              <w:rPr>
                <w:rFonts w:hint="default" w:ascii="ＭＳ 明朝" w:hAnsi="ＭＳ 明朝"/>
                <w:color w:val="auto"/>
                <w:sz w:val="20"/>
              </w:rPr>
            </w:pPr>
            <w:r>
              <w:rPr>
                <w:rFonts w:hint="eastAsia" w:ascii="ＭＳ 明朝" w:hAnsi="ＭＳ 明朝"/>
                <w:color w:val="auto"/>
                <w:sz w:val="20"/>
              </w:rPr>
              <w:t>【全幹集材】</w:t>
            </w:r>
          </w:p>
        </w:tc>
        <w:tc>
          <w:tcPr>
            <w:tcW w:w="1559" w:type="dxa"/>
            <w:vAlign w:val="center"/>
          </w:tcPr>
          <w:p>
            <w:pPr>
              <w:pStyle w:val="0"/>
              <w:rPr>
                <w:rFonts w:hint="default" w:ascii="ＭＳ 明朝" w:hAnsi="ＭＳ 明朝"/>
                <w:color w:val="auto"/>
                <w:sz w:val="20"/>
              </w:rPr>
            </w:pPr>
            <w:r>
              <w:rPr>
                <w:rFonts w:hint="eastAsia" w:ascii="ＭＳ 明朝" w:hAnsi="ＭＳ 明朝"/>
                <w:color w:val="000000" w:themeColor="text1"/>
                <w:sz w:val="20"/>
                <w:u w:val="none" w:color="auto"/>
              </w:rPr>
              <w:t>チェンソー</w:t>
            </w: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グラップルローダ</w:t>
            </w:r>
          </w:p>
        </w:tc>
      </w:tr>
      <w:tr>
        <w:trPr>
          <w:trHeight w:val="540" w:hRule="atLeast"/>
        </w:trPr>
        <w:tc>
          <w:tcPr>
            <w:tcW w:w="1134" w:type="dxa"/>
            <w:vMerge w:val="continue"/>
            <w:vAlign w:val="top"/>
          </w:tcPr>
          <w:p>
            <w:pPr>
              <w:pStyle w:val="0"/>
              <w:ind w:left="204"/>
              <w:rPr>
                <w:rFonts w:hint="default" w:ascii="ＭＳ 明朝" w:hAnsi="ＭＳ 明朝"/>
                <w:sz w:val="20"/>
              </w:rPr>
            </w:pPr>
          </w:p>
        </w:tc>
        <w:tc>
          <w:tcPr>
            <w:tcW w:w="2127" w:type="dxa"/>
            <w:vMerge w:val="continue"/>
            <w:vAlign w:val="top"/>
          </w:tcPr>
          <w:p>
            <w:pPr>
              <w:pStyle w:val="0"/>
              <w:rPr>
                <w:rFonts w:hint="default" w:ascii="ＭＳ 明朝" w:hAnsi="ＭＳ 明朝"/>
                <w:sz w:val="20"/>
              </w:rPr>
            </w:pPr>
          </w:p>
        </w:tc>
        <w:tc>
          <w:tcPr>
            <w:tcW w:w="2268" w:type="dxa"/>
            <w:vMerge w:val="continue"/>
            <w:vAlign w:val="top"/>
          </w:tcPr>
          <w:p>
            <w:pPr>
              <w:pStyle w:val="0"/>
              <w:jc w:val="left"/>
              <w:rPr>
                <w:rFonts w:hint="default" w:ascii="ＭＳ 明朝" w:hAnsi="ＭＳ 明朝"/>
                <w:sz w:val="20"/>
              </w:rPr>
            </w:pPr>
          </w:p>
        </w:tc>
        <w:tc>
          <w:tcPr>
            <w:tcW w:w="1559" w:type="dxa"/>
            <w:vAlign w:val="center"/>
          </w:tcPr>
          <w:p>
            <w:pPr>
              <w:pStyle w:val="0"/>
              <w:rPr>
                <w:rFonts w:hint="default" w:ascii="ＭＳ 明朝" w:hAnsi="ＭＳ 明朝"/>
                <w:color w:val="auto"/>
                <w:sz w:val="20"/>
              </w:rPr>
            </w:pPr>
            <w:r>
              <w:rPr>
                <w:rFonts w:hint="eastAsia" w:ascii="ＭＳ 明朝" w:hAnsi="ＭＳ 明朝"/>
                <w:color w:val="auto"/>
                <w:sz w:val="20"/>
              </w:rPr>
              <w:t>ハーベスタ・　プロセッサ</w:t>
            </w:r>
          </w:p>
        </w:tc>
        <w:tc>
          <w:tcPr>
            <w:tcW w:w="2693" w:type="dxa"/>
            <w:vAlign w:val="center"/>
          </w:tcPr>
          <w:p>
            <w:pPr>
              <w:pStyle w:val="0"/>
              <w:rPr>
                <w:rFonts w:hint="default" w:ascii="ＭＳ 明朝" w:hAnsi="ＭＳ 明朝"/>
                <w:color w:val="auto"/>
                <w:sz w:val="20"/>
              </w:rPr>
            </w:pPr>
            <w:r>
              <w:rPr>
                <w:rFonts w:hint="eastAsia" w:ascii="ＭＳ 明朝" w:hAnsi="ＭＳ 明朝"/>
                <w:color w:val="auto"/>
                <w:sz w:val="20"/>
              </w:rPr>
              <w:t>（ハーベスタ・プロセッサ）</w:t>
            </w: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　）は、前工程に引き続き同一樹種により実施する工程について記載。</w:t>
      </w:r>
    </w:p>
    <w:p>
      <w:pPr>
        <w:pStyle w:val="0"/>
        <w:rPr>
          <w:rFonts w:hint="default" w:ascii="ＭＳ 明朝" w:hAnsi="ＭＳ 明朝"/>
          <w:color w:val="auto"/>
        </w:rPr>
      </w:pPr>
      <w:r>
        <w:rPr>
          <w:rFonts w:hint="eastAsia" w:ascii="ＭＳ 明朝" w:hAnsi="ＭＳ 明朝"/>
          <w:color w:val="auto"/>
        </w:rPr>
        <w:t>　　※【　】は、集材方法。</w:t>
      </w:r>
    </w:p>
    <w:p>
      <w:pPr>
        <w:pStyle w:val="0"/>
        <w:rPr>
          <w:rFonts w:hint="default" w:ascii="ＭＳ 明朝" w:hAnsi="ＭＳ 明朝"/>
          <w:color w:val="auto"/>
        </w:rPr>
      </w:pPr>
      <w:r>
        <w:rPr>
          <w:rFonts w:hint="eastAsia" w:ascii="ＭＳ 明朝" w:hAnsi="ＭＳ 明朝"/>
          <w:color w:val="auto"/>
        </w:rPr>
        <w:t>　　※集材《木寄せ》工程において、グラップルローダ（全幹）を集材に活用している事例がある。</w:t>
      </w:r>
    </w:p>
    <w:p>
      <w:pPr>
        <w:pStyle w:val="0"/>
        <w:ind w:left="72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（２）　作業路網の整備及び維持運営に関する事項</w:t>
      </w:r>
    </w:p>
    <w:p>
      <w:pPr>
        <w:pStyle w:val="0"/>
        <w:rPr>
          <w:rFonts w:hint="default" w:ascii="ＭＳ 明朝" w:hAnsi="ＭＳ 明朝"/>
          <w:color w:val="auto"/>
        </w:rPr>
      </w:pPr>
      <w:r>
        <w:rPr>
          <w:rFonts w:hint="eastAsia" w:ascii="ＭＳ 明朝" w:hAnsi="ＭＳ 明朝"/>
          <w:color w:val="auto"/>
        </w:rPr>
        <w:t>　　ア　基幹路網に関する事項</w:t>
      </w:r>
    </w:p>
    <w:p>
      <w:pPr>
        <w:pStyle w:val="0"/>
        <w:rPr>
          <w:rFonts w:hint="default" w:ascii="ＭＳ 明朝" w:hAnsi="ＭＳ 明朝"/>
          <w:color w:val="auto"/>
        </w:rPr>
      </w:pPr>
      <w:r>
        <w:rPr>
          <w:rFonts w:hint="eastAsia" w:ascii="ＭＳ 明朝" w:hAnsi="ＭＳ 明朝"/>
          <w:color w:val="auto"/>
        </w:rPr>
        <w:t>　　　（ア）　基幹路網の作設にかかる留意点</w:t>
      </w:r>
    </w:p>
    <w:p>
      <w:pPr>
        <w:pStyle w:val="0"/>
        <w:ind w:left="1260" w:leftChars="100" w:hanging="1050" w:hangingChars="500"/>
        <w:rPr>
          <w:rFonts w:hint="default" w:ascii="ＭＳ 明朝" w:hAnsi="ＭＳ 明朝"/>
          <w:color w:val="auto"/>
        </w:rPr>
      </w:pPr>
      <w:r>
        <w:rPr>
          <w:rFonts w:hint="eastAsia" w:ascii="ＭＳ 明朝" w:hAnsi="ＭＳ 明朝"/>
          <w:color w:val="auto"/>
        </w:rPr>
        <w:t>　　　　　　安全の確保、土壌の保全等を図るため、適切な規格・構造の林道の整備を図る観点等から、林道、林業専用道及び森林作業道の整備にあたっては、それぞれ林道規程（昭和４８年４月１日付け林野道第１０７号林野庁長官通知）、北海道林業専用道作設指針（平成２３年３月３１日付け森計第１２８０号北海道水産林務部長通知）及び北海道森林作業道作設指針（平成２３年３月３１日付け森整第１２１９号北海道水産林務部長通知）により開設することとします。</w:t>
      </w:r>
    </w:p>
    <w:p>
      <w:pPr>
        <w:pStyle w:val="0"/>
        <w:ind w:firstLine="420" w:firstLineChars="200"/>
        <w:rPr>
          <w:rFonts w:hint="default" w:ascii="ＭＳ 明朝" w:hAnsi="ＭＳ 明朝"/>
          <w:color w:val="auto"/>
        </w:rPr>
      </w:pPr>
      <w:r>
        <w:rPr>
          <w:rFonts w:hint="eastAsia" w:ascii="ＭＳ 明朝" w:hAnsi="ＭＳ 明朝"/>
          <w:color w:val="auto"/>
        </w:rPr>
        <w:t>　（イ）　基幹路網の整備計画</w:t>
      </w:r>
    </w:p>
    <w:p>
      <w:pPr>
        <w:pStyle w:val="0"/>
        <w:rPr>
          <w:rFonts w:hint="default" w:ascii="ＭＳ 明朝" w:hAnsi="ＭＳ 明朝"/>
          <w:color w:val="auto"/>
        </w:rPr>
      </w:pPr>
      <w:r>
        <w:rPr>
          <w:rFonts w:hint="eastAsia" w:ascii="ＭＳ 明朝" w:hAnsi="ＭＳ 明朝"/>
          <w:color w:val="auto"/>
        </w:rPr>
        <w:t>　　　　　　　該当なし</w:t>
      </w:r>
    </w:p>
    <w:p>
      <w:pPr>
        <w:pStyle w:val="0"/>
        <w:ind w:firstLine="420" w:firstLineChars="200"/>
        <w:rPr>
          <w:rFonts w:hint="default" w:ascii="ＭＳ 明朝" w:hAnsi="ＭＳ 明朝"/>
          <w:color w:val="auto"/>
        </w:rPr>
      </w:pPr>
      <w:r>
        <w:rPr>
          <w:rFonts w:hint="eastAsia" w:ascii="ＭＳ 明朝" w:hAnsi="ＭＳ 明朝"/>
          <w:color w:val="auto"/>
        </w:rPr>
        <w:t>イ　路網整備等推進区域の設定</w:t>
      </w:r>
    </w:p>
    <w:p>
      <w:pPr>
        <w:pStyle w:val="0"/>
        <w:rPr>
          <w:rFonts w:hint="default" w:ascii="ＭＳ 明朝" w:hAnsi="ＭＳ 明朝"/>
          <w:color w:val="auto"/>
        </w:rPr>
      </w:pPr>
      <w:r>
        <w:rPr>
          <w:rFonts w:hint="eastAsia" w:ascii="ＭＳ 明朝" w:hAnsi="ＭＳ 明朝"/>
          <w:color w:val="auto"/>
        </w:rPr>
        <w:t>　　　　該当なし</w:t>
      </w:r>
    </w:p>
    <w:p>
      <w:pPr>
        <w:pStyle w:val="0"/>
        <w:tabs>
          <w:tab w:val="left" w:leader="none" w:pos="1134"/>
        </w:tabs>
        <w:ind w:firstLine="210" w:firstLineChars="100"/>
        <w:rPr>
          <w:rFonts w:hint="default" w:ascii="ＭＳ 明朝" w:hAnsi="ＭＳ 明朝"/>
          <w:color w:val="auto"/>
        </w:rPr>
      </w:pPr>
      <w:r>
        <w:rPr>
          <w:rFonts w:hint="eastAsia" w:ascii="ＭＳ 明朝" w:hAnsi="ＭＳ 明朝"/>
          <w:color w:val="auto"/>
        </w:rPr>
        <w:t>（３）　基幹路網の維持管理に関する事項</w:t>
      </w:r>
    </w:p>
    <w:p>
      <w:pPr>
        <w:pStyle w:val="0"/>
        <w:ind w:left="840" w:leftChars="400" w:firstLine="210" w:firstLineChars="100"/>
        <w:rPr>
          <w:rFonts w:hint="default" w:ascii="ＭＳ 明朝" w:hAnsi="ＭＳ 明朝"/>
          <w:color w:val="auto"/>
        </w:rPr>
      </w:pPr>
      <w:r>
        <w:rPr>
          <w:rFonts w:hint="eastAsia" w:ascii="ＭＳ 明朝" w:hAnsi="ＭＳ 明朝"/>
          <w:color w:val="auto"/>
        </w:rPr>
        <w:t>「森林環境保全整備事業実施要領」（平成１４年３月２９日付け林整整第８８５号林野庁長官通知）、「民有林林道台帳について」（平成８年５月１６日８林野基第１５８号林野庁長官通知）等に基づき、管理者を定め、台帳を作成して適切に管理することとします。</w:t>
      </w:r>
    </w:p>
    <w:p>
      <w:pPr>
        <w:pStyle w:val="0"/>
        <w:ind w:left="72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その他必要な事項</w:t>
      </w:r>
    </w:p>
    <w:p>
      <w:pPr>
        <w:pStyle w:val="0"/>
        <w:rPr>
          <w:rFonts w:hint="default" w:ascii="ＭＳ 明朝" w:hAnsi="ＭＳ 明朝"/>
          <w:color w:val="auto"/>
        </w:rPr>
      </w:pPr>
      <w:r>
        <w:rPr>
          <w:rFonts w:hint="eastAsia" w:ascii="ＭＳ 明朝" w:hAnsi="ＭＳ 明朝"/>
          <w:color w:val="auto"/>
        </w:rPr>
        <w:t>　　該当なし</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第８　その他森林整備の方法に関して必要な事項</w:t>
      </w:r>
    </w:p>
    <w:p>
      <w:pPr>
        <w:pStyle w:val="0"/>
        <w:rPr>
          <w:rFonts w:hint="default" w:ascii="ＭＳ 明朝" w:hAnsi="ＭＳ 明朝"/>
          <w:color w:val="auto"/>
        </w:rPr>
      </w:pPr>
      <w:r>
        <w:rPr>
          <w:rFonts w:hint="eastAsia" w:ascii="ＭＳ 明朝" w:hAnsi="ＭＳ 明朝"/>
          <w:color w:val="auto"/>
        </w:rPr>
        <w:t>１　林業に従事する者の養成及び確保に関する事項</w:t>
      </w:r>
    </w:p>
    <w:p>
      <w:pPr>
        <w:pStyle w:val="0"/>
        <w:overflowPunct w:val="0"/>
        <w:ind w:firstLine="210" w:firstLineChars="100"/>
        <w:textAlignment w:val="baseline"/>
        <w:rPr>
          <w:rFonts w:hint="default" w:ascii="ＭＳ 明朝" w:hAnsi="ＭＳ 明朝"/>
          <w:color w:val="auto"/>
        </w:rPr>
      </w:pPr>
      <w:r>
        <w:rPr>
          <w:rFonts w:hint="eastAsia" w:ascii="ＭＳ 明朝" w:hAnsi="ＭＳ 明朝"/>
          <w:color w:val="auto"/>
        </w:rPr>
        <w:t>（１）　労働条件等の改善に関する事項</w:t>
      </w:r>
    </w:p>
    <w:p>
      <w:pPr>
        <w:pStyle w:val="0"/>
        <w:overflowPunct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rPr>
        <w:t>　　　　</w:t>
      </w:r>
      <w:r>
        <w:rPr>
          <w:rFonts w:hint="eastAsia" w:ascii="ＭＳ 明朝" w:hAnsi="ＭＳ 明朝"/>
          <w:color w:val="auto"/>
          <w:kern w:val="0"/>
        </w:rPr>
        <w:t>本村の林家の大部分は小規模所有者であり、生産性も低く、また、農業との兼業がほとんどであり、林業のみで生計を維持している者はいない状況にあります。</w:t>
      </w:r>
    </w:p>
    <w:p>
      <w:pPr>
        <w:pStyle w:val="0"/>
        <w:overflowPunct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　　　　従って、森林施業の共同化及び合理化を進めるとともに、農業との共生による林業経営の健全化及び安定化を目標とし、作業条件の整備等による生産コストの低減及び労働強度の低減を図ることとします。</w:t>
      </w:r>
    </w:p>
    <w:p>
      <w:pPr>
        <w:pStyle w:val="0"/>
        <w:overflowPunct w:val="0"/>
        <w:ind w:left="840" w:leftChars="100" w:hanging="630" w:hangingChars="300"/>
        <w:jc w:val="left"/>
        <w:textAlignment w:val="baseline"/>
        <w:rPr>
          <w:rFonts w:hint="default" w:ascii="ＭＳ 明朝" w:hAnsi="ＭＳ 明朝"/>
          <w:color w:val="auto"/>
          <w:kern w:val="0"/>
        </w:rPr>
      </w:pPr>
      <w:r>
        <w:rPr>
          <w:rFonts w:hint="eastAsia" w:ascii="ＭＳ 明朝" w:hAnsi="ＭＳ 明朝"/>
          <w:color w:val="auto"/>
          <w:kern w:val="0"/>
        </w:rPr>
        <w:t>　　　　また、本村の林業従事者は、森林組合、会社等に雇用されている季節雇用であり、人員不足及び高齢化の傾向にあります。</w:t>
      </w:r>
    </w:p>
    <w:p>
      <w:pPr>
        <w:pStyle w:val="0"/>
        <w:overflowPunct w:val="0"/>
        <w:ind w:left="840" w:leftChars="100" w:hanging="630" w:hangingChars="300"/>
        <w:textAlignment w:val="baseline"/>
        <w:rPr>
          <w:rFonts w:hint="default" w:ascii="ＭＳ 明朝" w:hAnsi="ＭＳ 明朝"/>
          <w:color w:val="auto"/>
          <w:kern w:val="0"/>
        </w:rPr>
      </w:pPr>
      <w:r>
        <w:rPr>
          <w:rFonts w:hint="eastAsia" w:ascii="ＭＳ 明朝" w:hAnsi="ＭＳ 明朝"/>
          <w:color w:val="auto"/>
          <w:kern w:val="0"/>
        </w:rPr>
        <w:t>　　　　このため、安定的な就労の場の確保、労働条件の改善等により若年労働者の新規参入の促進、研修機会の充実による技術・技能の向上を図ります。</w:t>
      </w:r>
    </w:p>
    <w:p>
      <w:pPr>
        <w:pStyle w:val="0"/>
        <w:overflowPunct w:val="0"/>
        <w:ind w:firstLine="210" w:firstLineChars="100"/>
        <w:textAlignment w:val="baseline"/>
        <w:rPr>
          <w:rFonts w:hint="default" w:ascii="ＭＳ 明朝" w:hAnsi="ＭＳ 明朝"/>
          <w:color w:val="auto"/>
          <w:kern w:val="0"/>
        </w:rPr>
      </w:pPr>
      <w:r>
        <w:rPr>
          <w:rFonts w:hint="eastAsia" w:ascii="ＭＳ 明朝" w:hAnsi="ＭＳ 明朝"/>
          <w:color w:val="auto"/>
          <w:kern w:val="0"/>
        </w:rPr>
        <w:t>（２）　林業事業体の経営体質強化</w:t>
      </w:r>
    </w:p>
    <w:p>
      <w:pPr>
        <w:pStyle w:val="0"/>
        <w:ind w:left="840" w:hanging="840" w:hangingChars="400"/>
        <w:rPr>
          <w:rFonts w:hint="default" w:ascii="ＭＳ 明朝" w:hAnsi="ＭＳ 明朝"/>
          <w:color w:val="auto"/>
        </w:rPr>
      </w:pPr>
      <w:r>
        <w:rPr>
          <w:rFonts w:hint="eastAsia" w:ascii="ＭＳ 明朝" w:hAnsi="ＭＳ 明朝"/>
          <w:color w:val="auto"/>
        </w:rPr>
        <w:t>　　　　　北海道では、伐採跡地の増加、粗雑な施業が見受けられること及び労働災害等の発生率が高いことが課題となっています。</w:t>
      </w:r>
    </w:p>
    <w:p>
      <w:pPr>
        <w:pStyle w:val="0"/>
        <w:ind w:left="840" w:hanging="840" w:hangingChars="400"/>
        <w:rPr>
          <w:rFonts w:hint="default" w:ascii="ＭＳ 明朝" w:hAnsi="ＭＳ 明朝"/>
          <w:color w:val="auto"/>
        </w:rPr>
      </w:pPr>
      <w:r>
        <w:rPr>
          <w:rFonts w:hint="eastAsia" w:ascii="ＭＳ 明朝" w:hAnsi="ＭＳ 明朝"/>
          <w:color w:val="auto"/>
        </w:rPr>
        <w:t>　　　　　このため、北海道では、森林整備等を行う林業事業体の基本的情報等を登録し、公表する「北海道林業事業体登録制度」が創設されました。</w:t>
      </w:r>
    </w:p>
    <w:p>
      <w:pPr>
        <w:pStyle w:val="0"/>
        <w:ind w:left="840" w:hanging="840" w:hangingChars="400"/>
        <w:rPr>
          <w:rFonts w:hint="default" w:ascii="ＭＳ 明朝" w:hAnsi="ＭＳ 明朝"/>
          <w:color w:val="auto"/>
        </w:rPr>
      </w:pPr>
      <w:r>
        <w:rPr>
          <w:rFonts w:hint="eastAsia" w:ascii="ＭＳ 明朝" w:hAnsi="ＭＳ 明朝"/>
          <w:color w:val="auto"/>
        </w:rPr>
        <w:t>　　　　　本村においても、森林整備等を林業事業体に委託して実施するにあたり、適切な森林施業を行い、労働安全衛生管理に努める登録林業事業体の活用に努めます。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森林施業の合理化を図るために必要な機械の導入の促進に関する事項</w:t>
      </w:r>
    </w:p>
    <w:p>
      <w:pPr>
        <w:pStyle w:val="0"/>
        <w:ind w:firstLine="210" w:firstLineChars="100"/>
        <w:rPr>
          <w:rFonts w:hint="default" w:ascii="ＭＳ 明朝" w:hAnsi="ＭＳ 明朝"/>
          <w:color w:val="auto"/>
        </w:rPr>
      </w:pPr>
      <w:r>
        <w:rPr>
          <w:rFonts w:hint="eastAsia" w:ascii="ＭＳ 明朝" w:hAnsi="ＭＳ 明朝"/>
          <w:color w:val="auto"/>
        </w:rPr>
        <w:t>（１）　林業機械の促進方向</w:t>
      </w:r>
    </w:p>
    <w:p>
      <w:pPr>
        <w:pStyle w:val="0"/>
        <w:ind w:left="840" w:hanging="840" w:hangingChars="400"/>
        <w:rPr>
          <w:rFonts w:hint="default" w:ascii="ＭＳ 明朝" w:hAnsi="ＭＳ 明朝"/>
          <w:color w:val="auto"/>
        </w:rPr>
      </w:pPr>
      <w:r>
        <w:rPr>
          <w:rFonts w:hint="eastAsia" w:ascii="ＭＳ 明朝" w:hAnsi="ＭＳ 明朝"/>
          <w:color w:val="auto"/>
        </w:rPr>
        <w:t>　　　　　将来の森林資源に対する生産供給体制の整備と森林施業の合理化を図るため、緩傾斜地における林内作業では、チェーンソーと、トラクタによる作業システムに加え、ハーベスタによる伐倒、枝払い、玉切り作業とフォワーダによる短幹集材作業のシステムを活用するなど、高性能林業機械による効率的な作業システムの普及及び定着を図るものとします。</w:t>
      </w:r>
    </w:p>
    <w:p>
      <w:pPr>
        <w:pStyle w:val="0"/>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また、高性能林業機械の導入及び効率的な利用について取り組むものとします。</w:t>
      </w:r>
    </w:p>
    <w:p>
      <w:pPr>
        <w:pStyle w:val="0"/>
        <w:ind w:firstLine="210" w:firstLineChars="100"/>
        <w:rPr>
          <w:rFonts w:hint="default" w:ascii="ＭＳ 明朝" w:hAnsi="ＭＳ 明朝"/>
          <w:color w:val="auto"/>
        </w:rPr>
      </w:pPr>
      <w:r>
        <w:rPr>
          <w:rFonts w:hint="eastAsia" w:ascii="ＭＳ 明朝" w:hAnsi="ＭＳ 明朝"/>
          <w:color w:val="auto"/>
        </w:rPr>
        <w:t>（２）　高性能機械を主体とする林業機械の導入目標</w:t>
      </w:r>
    </w:p>
    <w:p>
      <w:pPr>
        <w:pStyle w:val="0"/>
        <w:ind w:firstLine="210" w:firstLineChars="100"/>
        <w:rPr>
          <w:rFonts w:hint="default" w:ascii="ＭＳ 明朝" w:hAnsi="ＭＳ 明朝"/>
          <w:color w:val="auto"/>
        </w:rPr>
      </w:pPr>
    </w:p>
    <w:tbl>
      <w:tblPr>
        <w:tblStyle w:val="11"/>
        <w:tblW w:w="7695"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1665"/>
        <w:gridCol w:w="2565"/>
        <w:gridCol w:w="2565"/>
      </w:tblGrid>
      <w:tr>
        <w:trPr>
          <w:trHeight w:val="327" w:hRule="atLeast"/>
        </w:trPr>
        <w:tc>
          <w:tcPr>
            <w:tcW w:w="2565" w:type="dxa"/>
            <w:gridSpan w:val="2"/>
            <w:vAlign w:val="center"/>
          </w:tcPr>
          <w:p>
            <w:pPr>
              <w:pStyle w:val="0"/>
              <w:jc w:val="center"/>
              <w:rPr>
                <w:rFonts w:hint="default" w:ascii="ＭＳ 明朝" w:hAnsi="ＭＳ 明朝"/>
                <w:color w:val="auto"/>
              </w:rPr>
            </w:pPr>
            <w:r>
              <w:rPr>
                <w:rFonts w:hint="eastAsia" w:ascii="ＭＳ 明朝" w:hAnsi="ＭＳ 明朝"/>
                <w:color w:val="auto"/>
              </w:rPr>
              <w:t>区分</w:t>
            </w:r>
          </w:p>
        </w:tc>
        <w:tc>
          <w:tcPr>
            <w:tcW w:w="2565" w:type="dxa"/>
            <w:vAlign w:val="center"/>
          </w:tcPr>
          <w:p>
            <w:pPr>
              <w:pStyle w:val="0"/>
              <w:jc w:val="center"/>
              <w:rPr>
                <w:rFonts w:hint="default" w:ascii="ＭＳ 明朝" w:hAnsi="ＭＳ 明朝"/>
                <w:color w:val="auto"/>
              </w:rPr>
            </w:pPr>
            <w:r>
              <w:rPr>
                <w:rFonts w:hint="eastAsia" w:ascii="ＭＳ 明朝" w:hAnsi="ＭＳ 明朝"/>
                <w:color w:val="auto"/>
              </w:rPr>
              <w:t>現状（参考）</w:t>
            </w:r>
          </w:p>
        </w:tc>
        <w:tc>
          <w:tcPr>
            <w:tcW w:w="2565" w:type="dxa"/>
            <w:vAlign w:val="center"/>
          </w:tcPr>
          <w:p>
            <w:pPr>
              <w:pStyle w:val="0"/>
              <w:jc w:val="center"/>
              <w:rPr>
                <w:rFonts w:hint="default" w:ascii="ＭＳ 明朝" w:hAnsi="ＭＳ 明朝"/>
                <w:color w:val="auto"/>
              </w:rPr>
            </w:pPr>
            <w:r>
              <w:rPr>
                <w:rFonts w:hint="eastAsia" w:ascii="ＭＳ 明朝" w:hAnsi="ＭＳ 明朝"/>
                <w:color w:val="auto"/>
              </w:rPr>
              <w:t>将来</w:t>
            </w:r>
          </w:p>
        </w:tc>
      </w:tr>
      <w:tr>
        <w:trPr>
          <w:trHeight w:val="386" w:hRule="atLeast"/>
        </w:trPr>
        <w:tc>
          <w:tcPr>
            <w:tcW w:w="2565" w:type="dxa"/>
            <w:gridSpan w:val="2"/>
            <w:vAlign w:val="center"/>
          </w:tcPr>
          <w:p>
            <w:pPr>
              <w:pStyle w:val="0"/>
              <w:jc w:val="center"/>
              <w:rPr>
                <w:rFonts w:hint="default" w:ascii="ＭＳ 明朝" w:hAnsi="ＭＳ 明朝"/>
                <w:color w:val="auto"/>
              </w:rPr>
            </w:pPr>
            <w:r>
              <w:rPr>
                <w:rFonts w:hint="eastAsia" w:ascii="ＭＳ 明朝" w:hAnsi="ＭＳ 明朝"/>
                <w:color w:val="auto"/>
              </w:rPr>
              <w:t>伐倒</w:t>
            </w:r>
          </w:p>
        </w:tc>
        <w:tc>
          <w:tcPr>
            <w:tcW w:w="2565" w:type="dxa"/>
            <w:vMerge w:val="restart"/>
            <w:vAlign w:val="center"/>
          </w:tcPr>
          <w:p>
            <w:pPr>
              <w:pStyle w:val="0"/>
              <w:jc w:val="center"/>
              <w:rPr>
                <w:rFonts w:hint="default" w:ascii="ＭＳ 明朝" w:hAnsi="ＭＳ 明朝"/>
                <w:color w:val="auto"/>
              </w:rPr>
            </w:pPr>
            <w:r>
              <w:rPr>
                <w:rFonts w:hint="eastAsia" w:ascii="ＭＳ 明朝" w:hAnsi="ＭＳ 明朝"/>
                <w:color w:val="auto"/>
              </w:rPr>
              <w:t>チェーンソー</w:t>
            </w:r>
          </w:p>
          <w:p>
            <w:pPr>
              <w:pStyle w:val="0"/>
              <w:jc w:val="center"/>
              <w:rPr>
                <w:rFonts w:hint="default" w:ascii="ＭＳ 明朝" w:hAnsi="ＭＳ 明朝"/>
                <w:color w:val="auto"/>
              </w:rPr>
            </w:pPr>
            <w:r>
              <w:rPr>
                <w:rFonts w:hint="eastAsia" w:ascii="ＭＳ 明朝" w:hAnsi="ＭＳ 明朝"/>
                <w:color w:val="auto"/>
              </w:rPr>
              <w:t>ハーベスタ</w:t>
            </w:r>
          </w:p>
          <w:p>
            <w:pPr>
              <w:pStyle w:val="0"/>
              <w:jc w:val="center"/>
              <w:rPr>
                <w:rFonts w:hint="default" w:ascii="ＭＳ 明朝" w:hAnsi="ＭＳ 明朝"/>
                <w:color w:val="auto"/>
              </w:rPr>
            </w:pPr>
            <w:r>
              <w:rPr>
                <w:rFonts w:hint="eastAsia" w:ascii="ＭＳ 明朝" w:hAnsi="ＭＳ 明朝"/>
                <w:color w:val="auto"/>
              </w:rPr>
              <w:t>スキッタ</w:t>
            </w:r>
          </w:p>
        </w:tc>
        <w:tc>
          <w:tcPr>
            <w:tcW w:w="2565" w:type="dxa"/>
            <w:vMerge w:val="restart"/>
            <w:vAlign w:val="center"/>
          </w:tcPr>
          <w:p>
            <w:pPr>
              <w:pStyle w:val="0"/>
              <w:jc w:val="center"/>
              <w:rPr>
                <w:rFonts w:hint="default" w:ascii="ＭＳ 明朝" w:hAnsi="ＭＳ 明朝"/>
                <w:color w:val="auto"/>
              </w:rPr>
            </w:pPr>
            <w:r>
              <w:rPr>
                <w:rFonts w:hint="eastAsia" w:ascii="ＭＳ 明朝" w:hAnsi="ＭＳ 明朝"/>
                <w:color w:val="auto"/>
              </w:rPr>
              <w:t>チェーンソー</w:t>
            </w:r>
          </w:p>
          <w:p>
            <w:pPr>
              <w:pStyle w:val="0"/>
              <w:jc w:val="center"/>
              <w:rPr>
                <w:rFonts w:hint="default" w:ascii="ＭＳ 明朝" w:hAnsi="ＭＳ 明朝"/>
                <w:color w:val="auto"/>
              </w:rPr>
            </w:pPr>
            <w:r>
              <w:rPr>
                <w:rFonts w:hint="eastAsia" w:ascii="ＭＳ 明朝" w:hAnsi="ＭＳ 明朝"/>
                <w:color w:val="auto"/>
              </w:rPr>
              <w:t>ハーベスタ</w:t>
            </w:r>
          </w:p>
          <w:p>
            <w:pPr>
              <w:pStyle w:val="0"/>
              <w:jc w:val="center"/>
              <w:rPr>
                <w:rFonts w:hint="default" w:ascii="ＭＳ 明朝" w:hAnsi="ＭＳ 明朝"/>
                <w:color w:val="auto"/>
              </w:rPr>
            </w:pPr>
            <w:r>
              <w:rPr>
                <w:rFonts w:hint="eastAsia" w:ascii="ＭＳ 明朝" w:hAnsi="ＭＳ 明朝"/>
                <w:color w:val="auto"/>
              </w:rPr>
              <w:t>ローダ</w:t>
            </w:r>
          </w:p>
          <w:p>
            <w:pPr>
              <w:pStyle w:val="0"/>
              <w:jc w:val="center"/>
              <w:rPr>
                <w:rFonts w:hint="default" w:ascii="ＭＳ 明朝" w:hAnsi="ＭＳ 明朝"/>
                <w:color w:val="auto"/>
              </w:rPr>
            </w:pPr>
            <w:r>
              <w:rPr>
                <w:rFonts w:hint="eastAsia" w:ascii="ＭＳ 明朝" w:hAnsi="ＭＳ 明朝"/>
                <w:color w:val="auto"/>
              </w:rPr>
              <w:t>スキッタ</w:t>
            </w:r>
          </w:p>
        </w:tc>
      </w:tr>
      <w:tr>
        <w:trPr>
          <w:trHeight w:val="430" w:hRule="atLeast"/>
        </w:trPr>
        <w:tc>
          <w:tcPr>
            <w:tcW w:w="2565" w:type="dxa"/>
            <w:gridSpan w:val="2"/>
            <w:vAlign w:val="center"/>
          </w:tcPr>
          <w:p>
            <w:pPr>
              <w:pStyle w:val="0"/>
              <w:jc w:val="center"/>
              <w:rPr>
                <w:rFonts w:hint="default" w:ascii="ＭＳ 明朝" w:hAnsi="ＭＳ 明朝"/>
                <w:color w:val="auto"/>
              </w:rPr>
            </w:pPr>
            <w:r>
              <w:rPr>
                <w:rFonts w:hint="eastAsia" w:ascii="ＭＳ 明朝" w:hAnsi="ＭＳ 明朝"/>
                <w:color w:val="auto"/>
              </w:rPr>
              <w:t>造材</w:t>
            </w:r>
          </w:p>
        </w:tc>
        <w:tc>
          <w:tcPr>
            <w:tcW w:w="2565" w:type="dxa"/>
            <w:vMerge w:val="continue"/>
            <w:vAlign w:val="center"/>
          </w:tcPr>
          <w:p>
            <w:pPr>
              <w:pStyle w:val="0"/>
              <w:rPr>
                <w:rFonts w:hint="default"/>
              </w:rPr>
            </w:pPr>
          </w:p>
        </w:tc>
        <w:tc>
          <w:tcPr>
            <w:tcW w:w="2565" w:type="dxa"/>
            <w:vMerge w:val="continue"/>
            <w:vAlign w:val="center"/>
          </w:tcPr>
          <w:p>
            <w:pPr>
              <w:pStyle w:val="0"/>
              <w:rPr>
                <w:rFonts w:hint="default"/>
              </w:rPr>
            </w:pPr>
          </w:p>
        </w:tc>
      </w:tr>
      <w:tr>
        <w:trPr>
          <w:trHeight w:val="431" w:hRule="atLeast"/>
        </w:trPr>
        <w:tc>
          <w:tcPr>
            <w:tcW w:w="2565" w:type="dxa"/>
            <w:gridSpan w:val="2"/>
            <w:vAlign w:val="center"/>
          </w:tcPr>
          <w:p>
            <w:pPr>
              <w:pStyle w:val="0"/>
              <w:jc w:val="center"/>
              <w:rPr>
                <w:rFonts w:hint="default" w:ascii="ＭＳ 明朝" w:hAnsi="ＭＳ 明朝"/>
                <w:color w:val="auto"/>
              </w:rPr>
            </w:pPr>
            <w:r>
              <w:rPr>
                <w:rFonts w:hint="eastAsia" w:ascii="ＭＳ 明朝" w:hAnsi="ＭＳ 明朝"/>
                <w:color w:val="auto"/>
              </w:rPr>
              <w:t>集材</w:t>
            </w:r>
          </w:p>
        </w:tc>
        <w:tc>
          <w:tcPr>
            <w:tcW w:w="2565" w:type="dxa"/>
            <w:vMerge w:val="continue"/>
            <w:vAlign w:val="center"/>
          </w:tcPr>
          <w:p>
            <w:pPr>
              <w:pStyle w:val="0"/>
              <w:rPr>
                <w:rFonts w:hint="eastAsia"/>
              </w:rPr>
            </w:pPr>
          </w:p>
        </w:tc>
        <w:tc>
          <w:tcPr>
            <w:tcW w:w="2565" w:type="dxa"/>
            <w:vMerge w:val="continue"/>
            <w:vAlign w:val="center"/>
          </w:tcPr>
          <w:p>
            <w:pPr>
              <w:pStyle w:val="0"/>
              <w:rPr>
                <w:rFonts w:hint="eastAsia"/>
              </w:rPr>
            </w:pPr>
          </w:p>
        </w:tc>
      </w:tr>
      <w:tr>
        <w:trPr>
          <w:trHeight w:val="311" w:hRule="atLeast"/>
        </w:trPr>
        <w:tc>
          <w:tcPr>
            <w:tcW w:w="900" w:type="dxa"/>
            <w:vMerge w:val="restart"/>
            <w:vAlign w:val="center"/>
          </w:tcPr>
          <w:p>
            <w:pPr>
              <w:pStyle w:val="0"/>
              <w:ind w:firstLine="105" w:firstLineChars="50"/>
              <w:rPr>
                <w:rFonts w:hint="default" w:ascii="ＭＳ 明朝" w:hAnsi="ＭＳ 明朝"/>
                <w:color w:val="auto"/>
              </w:rPr>
            </w:pPr>
            <w:r>
              <w:rPr>
                <w:rFonts w:hint="eastAsia" w:ascii="ＭＳ 明朝" w:hAnsi="ＭＳ 明朝"/>
                <w:color w:val="auto"/>
              </w:rPr>
              <w:t>造林</w:t>
            </w:r>
          </w:p>
          <w:p>
            <w:pPr>
              <w:pStyle w:val="0"/>
              <w:ind w:firstLine="105" w:firstLineChars="50"/>
              <w:rPr>
                <w:rFonts w:hint="default" w:ascii="ＭＳ 明朝" w:hAnsi="ＭＳ 明朝"/>
                <w:color w:val="auto"/>
              </w:rPr>
            </w:pPr>
            <w:r>
              <w:rPr>
                <w:rFonts w:hint="eastAsia" w:ascii="ＭＳ 明朝" w:hAnsi="ＭＳ 明朝"/>
                <w:color w:val="auto"/>
              </w:rPr>
              <w:t>保育</w:t>
            </w:r>
          </w:p>
          <w:p>
            <w:pPr>
              <w:pStyle w:val="0"/>
              <w:ind w:firstLine="105" w:firstLineChars="50"/>
              <w:rPr>
                <w:rFonts w:hint="default" w:ascii="ＭＳ 明朝" w:hAnsi="ＭＳ 明朝"/>
                <w:color w:val="auto"/>
              </w:rPr>
            </w:pPr>
            <w:r>
              <w:rPr>
                <w:rFonts w:hint="eastAsia" w:ascii="ＭＳ 明朝" w:hAnsi="ＭＳ 明朝"/>
                <w:color w:val="auto"/>
              </w:rPr>
              <w:t>等</w:t>
            </w:r>
          </w:p>
        </w:tc>
        <w:tc>
          <w:tcPr>
            <w:tcW w:w="1665" w:type="dxa"/>
            <w:vAlign w:val="center"/>
          </w:tcPr>
          <w:p>
            <w:pPr>
              <w:pStyle w:val="0"/>
              <w:jc w:val="center"/>
              <w:rPr>
                <w:rFonts w:hint="default" w:ascii="ＭＳ 明朝" w:hAnsi="ＭＳ 明朝"/>
                <w:color w:val="auto"/>
              </w:rPr>
            </w:pPr>
            <w:r>
              <w:rPr>
                <w:rFonts w:hint="eastAsia" w:ascii="ＭＳ 明朝" w:hAnsi="ＭＳ 明朝"/>
                <w:color w:val="auto"/>
              </w:rPr>
              <w:t>地拵</w:t>
            </w:r>
          </w:p>
        </w:tc>
        <w:tc>
          <w:tcPr>
            <w:tcW w:w="2565" w:type="dxa"/>
            <w:vMerge w:val="restart"/>
            <w:vAlign w:val="center"/>
          </w:tcPr>
          <w:p>
            <w:pPr>
              <w:pStyle w:val="0"/>
              <w:jc w:val="center"/>
              <w:rPr>
                <w:rFonts w:hint="default" w:ascii="ＭＳ 明朝" w:hAnsi="ＭＳ 明朝"/>
                <w:color w:val="auto"/>
              </w:rPr>
            </w:pPr>
            <w:r>
              <w:rPr>
                <w:rFonts w:hint="eastAsia" w:ascii="ＭＳ 明朝" w:hAnsi="ＭＳ 明朝"/>
                <w:color w:val="auto"/>
              </w:rPr>
              <w:t>チェーンソー</w:t>
            </w:r>
          </w:p>
          <w:p>
            <w:pPr>
              <w:pStyle w:val="0"/>
              <w:jc w:val="center"/>
              <w:rPr>
                <w:rFonts w:hint="default" w:ascii="ＭＳ 明朝" w:hAnsi="ＭＳ 明朝"/>
                <w:color w:val="auto"/>
              </w:rPr>
            </w:pPr>
            <w:r>
              <w:rPr>
                <w:rFonts w:hint="eastAsia" w:ascii="ＭＳ 明朝" w:hAnsi="ＭＳ 明朝"/>
                <w:color w:val="auto"/>
              </w:rPr>
              <w:t>刈払機</w:t>
            </w:r>
          </w:p>
          <w:p>
            <w:pPr>
              <w:pStyle w:val="0"/>
              <w:jc w:val="center"/>
              <w:rPr>
                <w:rFonts w:hint="default" w:ascii="ＭＳ 明朝" w:hAnsi="ＭＳ 明朝"/>
                <w:color w:val="auto"/>
              </w:rPr>
            </w:pPr>
          </w:p>
        </w:tc>
        <w:tc>
          <w:tcPr>
            <w:tcW w:w="2565" w:type="dxa"/>
            <w:vMerge w:val="restart"/>
            <w:vAlign w:val="center"/>
          </w:tcPr>
          <w:p>
            <w:pPr>
              <w:pStyle w:val="0"/>
              <w:jc w:val="center"/>
              <w:rPr>
                <w:rFonts w:hint="default" w:ascii="ＭＳ 明朝" w:hAnsi="ＭＳ 明朝"/>
                <w:color w:val="auto"/>
              </w:rPr>
            </w:pPr>
            <w:r>
              <w:rPr>
                <w:rFonts w:hint="eastAsia" w:ascii="ＭＳ 明朝" w:hAnsi="ＭＳ 明朝"/>
                <w:color w:val="auto"/>
              </w:rPr>
              <w:t>チェーンソー</w:t>
            </w:r>
          </w:p>
          <w:p>
            <w:pPr>
              <w:pStyle w:val="0"/>
              <w:jc w:val="center"/>
              <w:rPr>
                <w:rFonts w:hint="default" w:ascii="ＭＳ 明朝" w:hAnsi="ＭＳ 明朝"/>
                <w:color w:val="auto"/>
              </w:rPr>
            </w:pPr>
            <w:r>
              <w:rPr>
                <w:rFonts w:hint="eastAsia" w:ascii="ＭＳ 明朝" w:hAnsi="ＭＳ 明朝"/>
                <w:color w:val="auto"/>
              </w:rPr>
              <w:t>刈払機</w:t>
            </w:r>
          </w:p>
          <w:p>
            <w:pPr>
              <w:pStyle w:val="0"/>
              <w:jc w:val="center"/>
              <w:rPr>
                <w:rFonts w:hint="default" w:ascii="ＭＳ 明朝" w:hAnsi="ＭＳ 明朝"/>
                <w:color w:val="auto"/>
              </w:rPr>
            </w:pPr>
            <w:r>
              <w:rPr>
                <w:rFonts w:hint="eastAsia" w:ascii="ＭＳ 明朝" w:hAnsi="ＭＳ 明朝"/>
                <w:color w:val="auto"/>
              </w:rPr>
              <w:t>リモコン自動枝打機</w:t>
            </w:r>
          </w:p>
        </w:tc>
      </w:tr>
      <w:tr>
        <w:trPr>
          <w:trHeight w:val="311" w:hRule="atLeast"/>
        </w:trPr>
        <w:tc>
          <w:tcPr>
            <w:tcW w:w="900" w:type="dxa"/>
            <w:vMerge w:val="continue"/>
            <w:vAlign w:val="center"/>
          </w:tcPr>
          <w:p>
            <w:pPr>
              <w:pStyle w:val="0"/>
              <w:ind w:firstLine="105" w:firstLineChars="50"/>
              <w:rPr>
                <w:rFonts w:hint="default" w:ascii="ＭＳ 明朝" w:hAnsi="ＭＳ 明朝"/>
                <w:color w:val="auto"/>
              </w:rPr>
            </w:pPr>
          </w:p>
        </w:tc>
        <w:tc>
          <w:tcPr>
            <w:tcW w:w="1665" w:type="dxa"/>
            <w:vAlign w:val="center"/>
          </w:tcPr>
          <w:p>
            <w:pPr>
              <w:pStyle w:val="0"/>
              <w:jc w:val="center"/>
              <w:rPr>
                <w:rFonts w:hint="default" w:ascii="ＭＳ 明朝" w:hAnsi="ＭＳ 明朝"/>
                <w:color w:val="auto"/>
              </w:rPr>
            </w:pPr>
            <w:r>
              <w:rPr>
                <w:rFonts w:hint="eastAsia" w:ascii="ＭＳ 明朝" w:hAnsi="ＭＳ 明朝"/>
                <w:color w:val="auto"/>
              </w:rPr>
              <w:t>下刈</w:t>
            </w:r>
          </w:p>
        </w:tc>
        <w:tc>
          <w:tcPr>
            <w:tcW w:w="2565" w:type="dxa"/>
            <w:vMerge w:val="continue"/>
            <w:vAlign w:val="center"/>
          </w:tcPr>
          <w:p>
            <w:pPr>
              <w:pStyle w:val="0"/>
              <w:jc w:val="center"/>
              <w:rPr>
                <w:rFonts w:hint="default" w:ascii="ＭＳ 明朝" w:hAnsi="ＭＳ 明朝"/>
                <w:color w:val="auto"/>
              </w:rPr>
            </w:pPr>
          </w:p>
        </w:tc>
        <w:tc>
          <w:tcPr>
            <w:tcW w:w="2565" w:type="dxa"/>
            <w:vMerge w:val="continue"/>
            <w:vAlign w:val="center"/>
          </w:tcPr>
          <w:p>
            <w:pPr>
              <w:pStyle w:val="0"/>
              <w:jc w:val="center"/>
              <w:rPr>
                <w:rFonts w:hint="default" w:ascii="ＭＳ 明朝" w:hAnsi="ＭＳ 明朝"/>
                <w:color w:val="auto"/>
              </w:rPr>
            </w:pPr>
          </w:p>
        </w:tc>
      </w:tr>
      <w:tr>
        <w:trPr>
          <w:trHeight w:val="311" w:hRule="atLeast"/>
        </w:trPr>
        <w:tc>
          <w:tcPr>
            <w:tcW w:w="900" w:type="dxa"/>
            <w:vMerge w:val="continue"/>
            <w:vAlign w:val="top"/>
          </w:tcPr>
          <w:p>
            <w:pPr>
              <w:pStyle w:val="0"/>
              <w:rPr>
                <w:rFonts w:hint="default"/>
              </w:rPr>
            </w:pPr>
          </w:p>
        </w:tc>
        <w:tc>
          <w:tcPr>
            <w:tcW w:w="1665" w:type="dxa"/>
            <w:vAlign w:val="center"/>
          </w:tcPr>
          <w:p>
            <w:pPr>
              <w:pStyle w:val="0"/>
              <w:jc w:val="center"/>
              <w:rPr>
                <w:rFonts w:hint="default" w:ascii="ＭＳ 明朝" w:hAnsi="ＭＳ 明朝"/>
                <w:color w:val="auto"/>
              </w:rPr>
            </w:pPr>
            <w:r>
              <w:rPr>
                <w:rFonts w:hint="eastAsia" w:ascii="ＭＳ 明朝" w:hAnsi="ＭＳ 明朝"/>
                <w:color w:val="auto"/>
              </w:rPr>
              <w:t>枝打ち</w:t>
            </w:r>
          </w:p>
        </w:tc>
        <w:tc>
          <w:tcPr>
            <w:tcW w:w="2565" w:type="dxa"/>
            <w:vMerge w:val="continue"/>
            <w:vAlign w:val="center"/>
          </w:tcPr>
          <w:p>
            <w:pPr>
              <w:pStyle w:val="0"/>
              <w:rPr>
                <w:rFonts w:hint="default"/>
              </w:rPr>
            </w:pPr>
          </w:p>
        </w:tc>
        <w:tc>
          <w:tcPr>
            <w:tcW w:w="2565" w:type="dxa"/>
            <w:vMerge w:val="continue"/>
            <w:vAlign w:val="center"/>
          </w:tcPr>
          <w:p>
            <w:pPr>
              <w:pStyle w:val="0"/>
              <w:rPr>
                <w:rFonts w:hint="default"/>
              </w:rPr>
            </w:pPr>
          </w:p>
        </w:tc>
      </w:tr>
    </w:tbl>
    <w:p>
      <w:pPr>
        <w:pStyle w:val="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（３）　林業機械の促進方策</w:t>
      </w:r>
    </w:p>
    <w:p>
      <w:pPr>
        <w:pStyle w:val="0"/>
        <w:ind w:firstLine="1050" w:firstLineChars="500"/>
        <w:rPr>
          <w:rFonts w:hint="default" w:ascii="ＭＳ 明朝" w:hAnsi="ＭＳ 明朝"/>
          <w:color w:val="auto"/>
        </w:rPr>
      </w:pPr>
      <w:r>
        <w:rPr>
          <w:rFonts w:hint="eastAsia" w:ascii="ＭＳ 明朝" w:hAnsi="ＭＳ 明朝"/>
          <w:color w:val="auto"/>
        </w:rPr>
        <w:t>林業機械の促進方策は、次のとおりとします。</w:t>
      </w:r>
    </w:p>
    <w:p>
      <w:pPr>
        <w:pStyle w:val="0"/>
        <w:autoSpaceDE w:val="0"/>
        <w:autoSpaceDN w:val="0"/>
        <w:adjustRightInd w:val="0"/>
        <w:ind w:firstLine="420" w:firstLineChars="200"/>
        <w:jc w:val="left"/>
        <w:rPr>
          <w:rFonts w:hint="default" w:ascii="ＭＳ 明朝" w:hAnsi="ＭＳ 明朝"/>
          <w:color w:val="auto"/>
        </w:rPr>
      </w:pPr>
      <w:r>
        <w:rPr>
          <w:rFonts w:hint="eastAsia" w:ascii="ＭＳ 明朝" w:hAnsi="ＭＳ 明朝"/>
          <w:color w:val="auto"/>
        </w:rPr>
        <w:t>ア　森林組合によるタワーヤーダ、プロセッサ等の高性能林業機械の活用</w:t>
      </w:r>
    </w:p>
    <w:p>
      <w:pPr>
        <w:pStyle w:val="0"/>
        <w:autoSpaceDE w:val="0"/>
        <w:autoSpaceDN w:val="0"/>
        <w:adjustRightInd w:val="0"/>
        <w:ind w:firstLine="420" w:firstLineChars="200"/>
        <w:jc w:val="left"/>
        <w:rPr>
          <w:rFonts w:hint="default" w:ascii="ＭＳ 明朝" w:hAnsi="ＭＳ 明朝"/>
          <w:color w:val="auto"/>
        </w:rPr>
      </w:pPr>
      <w:r>
        <w:rPr>
          <w:rFonts w:hint="eastAsia" w:ascii="ＭＳ 明朝" w:hAnsi="ＭＳ 明朝"/>
          <w:color w:val="auto"/>
        </w:rPr>
        <w:t>イ　森林組合を中心とした枝打ち作業等による森林施業の機械化を推進</w:t>
      </w:r>
    </w:p>
    <w:p>
      <w:pPr>
        <w:pStyle w:val="0"/>
        <w:autoSpaceDE w:val="0"/>
        <w:autoSpaceDN w:val="0"/>
        <w:adjustRightInd w:val="0"/>
        <w:ind w:firstLine="420" w:firstLineChars="200"/>
        <w:jc w:val="left"/>
        <w:rPr>
          <w:rFonts w:hint="default" w:ascii="ＭＳ 明朝" w:hAnsi="ＭＳ 明朝"/>
          <w:color w:val="auto"/>
        </w:rPr>
      </w:pPr>
      <w:r>
        <w:rPr>
          <w:rFonts w:hint="eastAsia" w:ascii="ＭＳ 明朝" w:hAnsi="ＭＳ 明朝"/>
          <w:color w:val="auto"/>
        </w:rPr>
        <w:t>ウ　間伐の早急な実施を推進するため、森林組合の林内作業車、集材機等の導入</w:t>
      </w:r>
    </w:p>
    <w:p>
      <w:pPr>
        <w:pStyle w:val="0"/>
        <w:autoSpaceDE w:val="0"/>
        <w:autoSpaceDN w:val="0"/>
        <w:adjustRightInd w:val="0"/>
        <w:ind w:left="630" w:leftChars="200" w:hanging="210" w:hangingChars="100"/>
        <w:jc w:val="left"/>
        <w:rPr>
          <w:rFonts w:hint="default" w:ascii="ＭＳ 明朝" w:hAnsi="ＭＳ 明朝"/>
          <w:color w:val="auto"/>
        </w:rPr>
      </w:pPr>
      <w:r>
        <w:rPr>
          <w:rFonts w:hint="eastAsia" w:ascii="ＭＳ 明朝" w:hAnsi="ＭＳ 明朝"/>
          <w:color w:val="auto"/>
        </w:rPr>
        <w:t>エ　林業労働力確保支援センター等が実施する高性能林業機械のオペレータ育成研修会等への積極的な参加</w:t>
      </w:r>
    </w:p>
    <w:p>
      <w:pPr>
        <w:pStyle w:val="0"/>
        <w:autoSpaceDE w:val="0"/>
        <w:autoSpaceDN w:val="0"/>
        <w:adjustRightInd w:val="0"/>
        <w:ind w:left="630" w:leftChars="200" w:hanging="210" w:hangingChars="100"/>
        <w:jc w:val="left"/>
        <w:rPr>
          <w:rFonts w:hint="default" w:ascii="ＭＳ 明朝" w:hAnsi="ＭＳ 明朝"/>
          <w:color w:val="auto"/>
        </w:rPr>
      </w:pPr>
      <w:r>
        <w:rPr>
          <w:rFonts w:hint="eastAsia" w:ascii="ＭＳ 明朝" w:hAnsi="ＭＳ 明朝"/>
          <w:color w:val="auto"/>
        </w:rPr>
        <w:t>オ　地域が一体となった安定的事業量の確保等を推進し、林業における安全性の確保及び生産コストの低減を推進する。</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林産物の利用の促進のために必要な施設の整備に関する事項</w:t>
      </w:r>
    </w:p>
    <w:p>
      <w:pPr>
        <w:pStyle w:val="0"/>
        <w:ind w:left="210" w:leftChars="100" w:firstLine="210" w:firstLineChars="100"/>
        <w:rPr>
          <w:rFonts w:hint="default" w:ascii="ＭＳ 明朝" w:hAnsi="ＭＳ 明朝"/>
          <w:color w:val="auto"/>
        </w:rPr>
      </w:pPr>
      <w:r>
        <w:rPr>
          <w:rFonts w:hint="eastAsia" w:ascii="ＭＳ 明朝" w:hAnsi="ＭＳ 明朝"/>
          <w:color w:val="auto"/>
        </w:rPr>
        <w:t>地域の森林・林業、木材産業等の活性化及び木材自給率の向上を図るためには、地域で生産された木材を地域で消費する「地材地消」の推進が重要であり、地域材の利用に向けた住民への普及啓発活動等による需要促進に努め、また、公共建築物等において木材・木製品の積極的な利用を図ることに努めることとします。</w:t>
      </w:r>
    </w:p>
    <w:p>
      <w:pPr>
        <w:pStyle w:val="0"/>
        <w:ind w:left="210" w:leftChars="100" w:firstLine="210" w:firstLineChars="100"/>
        <w:rPr>
          <w:rFonts w:hint="default" w:ascii="ＭＳ 明朝" w:hAnsi="ＭＳ 明朝"/>
          <w:color w:val="auto"/>
        </w:rPr>
      </w:pPr>
      <w:r>
        <w:rPr>
          <w:rFonts w:hint="eastAsia" w:ascii="ＭＳ 明朝" w:hAnsi="ＭＳ 明朝"/>
          <w:color w:val="auto"/>
        </w:rPr>
        <w:t>また、脱炭素社会の実現に資する等のための建築物等における木材の利用の促進に関する法律（平成</w:t>
      </w:r>
      <w:r>
        <w:rPr>
          <w:rFonts w:hint="eastAsia" w:ascii="ＭＳ 明朝" w:hAnsi="ＭＳ 明朝"/>
          <w:color w:val="auto"/>
        </w:rPr>
        <w:t xml:space="preserve">22 </w:t>
      </w:r>
      <w:r>
        <w:rPr>
          <w:rFonts w:hint="eastAsia" w:ascii="ＭＳ 明朝" w:hAnsi="ＭＳ 明朝"/>
          <w:color w:val="auto"/>
        </w:rPr>
        <w:t>年法律第</w:t>
      </w:r>
      <w:r>
        <w:rPr>
          <w:rFonts w:hint="eastAsia" w:ascii="ＭＳ 明朝" w:hAnsi="ＭＳ 明朝"/>
          <w:color w:val="auto"/>
        </w:rPr>
        <w:t xml:space="preserve">36 </w:t>
      </w:r>
      <w:r>
        <w:rPr>
          <w:rFonts w:hint="eastAsia" w:ascii="ＭＳ 明朝" w:hAnsi="ＭＳ 明朝"/>
          <w:color w:val="auto"/>
        </w:rPr>
        <w:t>号）に基づき、北海道が策定した「北海道地域材利用推進方針」（平成</w:t>
      </w:r>
      <w:r>
        <w:rPr>
          <w:rFonts w:hint="eastAsia" w:ascii="ＭＳ 明朝" w:hAnsi="ＭＳ 明朝"/>
          <w:color w:val="auto"/>
        </w:rPr>
        <w:t>23</w:t>
      </w:r>
      <w:r>
        <w:rPr>
          <w:rFonts w:hint="eastAsia" w:ascii="ＭＳ 明朝" w:hAnsi="ＭＳ 明朝"/>
          <w:color w:val="auto"/>
        </w:rPr>
        <w:t>年</w:t>
      </w:r>
      <w:r>
        <w:rPr>
          <w:rFonts w:hint="eastAsia" w:ascii="ＭＳ 明朝" w:hAnsi="ＭＳ 明朝"/>
          <w:color w:val="auto"/>
        </w:rPr>
        <w:t xml:space="preserve">3 </w:t>
      </w:r>
      <w:r>
        <w:rPr>
          <w:rFonts w:hint="eastAsia" w:ascii="ＭＳ 明朝" w:hAnsi="ＭＳ 明朝"/>
          <w:color w:val="auto"/>
        </w:rPr>
        <w:t>月策定）に即して建築物等において積極的に木材、木製品を利用するほか、建築材をはじめ、木質バイオマスエネルギーへの活用など、幅広い用途での地域材の利用の促進と、地域材を低コストで安定的に供給するため、木材流通の合理化や木材産業の体質強化を推進するとともに、国内市場で最初に木材の譲受け等をする木材関連事業者の取り扱う全ての木材が合法性確認木材となるよう、令和５年に改正された合法伐採木材等の流通及び利用の促進に関する法律（平成</w:t>
      </w:r>
      <w:r>
        <w:rPr>
          <w:rFonts w:hint="eastAsia" w:ascii="ＭＳ 明朝" w:hAnsi="ＭＳ 明朝"/>
          <w:color w:val="auto"/>
        </w:rPr>
        <w:t xml:space="preserve">28 </w:t>
      </w:r>
      <w:r>
        <w:rPr>
          <w:rFonts w:hint="eastAsia" w:ascii="ＭＳ 明朝" w:hAnsi="ＭＳ 明朝"/>
          <w:color w:val="auto"/>
        </w:rPr>
        <w:t>年法律第</w:t>
      </w:r>
      <w:r>
        <w:rPr>
          <w:rFonts w:hint="eastAsia" w:ascii="ＭＳ 明朝" w:hAnsi="ＭＳ 明朝"/>
          <w:color w:val="auto"/>
        </w:rPr>
        <w:t xml:space="preserve">48 </w:t>
      </w:r>
      <w:r>
        <w:rPr>
          <w:rFonts w:hint="eastAsia" w:ascii="ＭＳ 明朝" w:hAnsi="ＭＳ 明朝"/>
          <w:color w:val="auto"/>
        </w:rPr>
        <w:t>）に基づき、木材関連事業者による合法性の確認等の実施及び合法性確認木材等の取扱数量の増加等の取組を着実に進めることとします。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４　その他必要な事項</w:t>
      </w:r>
    </w:p>
    <w:p>
      <w:pPr>
        <w:pStyle w:val="0"/>
        <w:ind w:left="210" w:leftChars="100" w:firstLine="210" w:firstLineChars="100"/>
        <w:rPr>
          <w:rFonts w:hint="default" w:ascii="ＭＳ 明朝" w:hAnsi="ＭＳ 明朝"/>
          <w:color w:val="auto"/>
        </w:rPr>
      </w:pPr>
      <w:r>
        <w:rPr>
          <w:rFonts w:hint="eastAsia" w:ascii="ＭＳ 明朝" w:hAnsi="ＭＳ 明朝"/>
          <w:color w:val="auto"/>
        </w:rPr>
        <w:t>更別地区にある保健保安林については、どんぐり公園に隣接しており公園利用者の利活用を推進するため、国庫補助事業等も活用し保健保安林の機能増進を図ります。</w:t>
      </w:r>
    </w:p>
    <w:p>
      <w:pPr>
        <w:pStyle w:val="0"/>
        <w:ind w:left="210" w:leftChars="100" w:firstLine="210" w:firstLineChars="100"/>
        <w:rPr>
          <w:rFonts w:hint="default" w:ascii="ＭＳ 明朝" w:hAnsi="ＭＳ 明朝"/>
          <w:color w:val="auto"/>
        </w:rPr>
      </w:pPr>
    </w:p>
    <w:p>
      <w:pPr>
        <w:pStyle w:val="0"/>
        <w:ind w:firstLine="210" w:firstLineChars="100"/>
        <w:rPr>
          <w:rFonts w:hint="default" w:ascii="ＭＳ 明朝" w:hAnsi="ＭＳ 明朝"/>
          <w:color w:val="auto"/>
        </w:rPr>
      </w:pPr>
      <w:r>
        <w:rPr>
          <w:rFonts w:hint="eastAsia" w:ascii="ＭＳ 明朝" w:hAnsi="ＭＳ 明朝"/>
          <w:color w:val="auto"/>
        </w:rPr>
        <w:t>○　生活環境施設の整備計画</w:t>
      </w:r>
    </w:p>
    <w:p>
      <w:pPr>
        <w:pStyle w:val="0"/>
        <w:ind w:firstLine="210" w:firstLineChars="100"/>
        <w:rPr>
          <w:rFonts w:hint="default" w:ascii="ＭＳ 明朝" w:hAnsi="ＭＳ 明朝"/>
          <w:color w:val="auto"/>
        </w:rPr>
      </w:pPr>
    </w:p>
    <w:tbl>
      <w:tblPr>
        <w:tblStyle w:val="11"/>
        <w:tblW w:w="9462" w:type="dxa"/>
        <w:tblInd w:w="92" w:type="dxa"/>
        <w:tblLayout w:type="fixed"/>
        <w:tblCellMar>
          <w:left w:w="14" w:type="dxa"/>
          <w:right w:w="14" w:type="dxa"/>
        </w:tblCellMar>
        <w:tblLook w:firstRow="0" w:lastRow="0" w:firstColumn="0" w:lastColumn="0" w:noHBand="0" w:noVBand="0" w:val="0000"/>
      </w:tblPr>
      <w:tblGrid>
        <w:gridCol w:w="342"/>
        <w:gridCol w:w="1824"/>
        <w:gridCol w:w="1368"/>
        <w:gridCol w:w="2508"/>
        <w:gridCol w:w="1368"/>
        <w:gridCol w:w="1710"/>
        <w:gridCol w:w="228"/>
        <w:gridCol w:w="114"/>
      </w:tblGrid>
      <w:tr>
        <w:trPr>
          <w:cantSplit/>
          <w:trHeight w:val="247" w:hRule="exact"/>
        </w:trPr>
        <w:tc>
          <w:tcPr>
            <w:tcW w:w="342" w:type="dxa"/>
            <w:vMerge w:val="restart"/>
            <w:tcBorders>
              <w:top w:val="nil"/>
              <w:left w:val="nil"/>
              <w:bottom w:val="nil"/>
              <w:right w:val="nil"/>
              <w:tl2br w:val="none" w:color="auto" w:sz="0" w:space="0"/>
              <w:tr2bl w:val="none" w:color="auto" w:sz="0" w:space="0"/>
            </w:tcBorders>
            <w:vAlign w:val="top"/>
          </w:tcPr>
          <w:p>
            <w:pPr>
              <w:pStyle w:val="15"/>
              <w:rPr>
                <w:rFonts w:hint="default" w:ascii="ＭＳ 明朝" w:hAnsi="ＭＳ 明朝" w:eastAsia="ＭＳ 明朝"/>
                <w:color w:val="auto"/>
                <w:spacing w:val="0"/>
              </w:rPr>
            </w:pPr>
          </w:p>
        </w:tc>
        <w:tc>
          <w:tcPr>
            <w:tcW w:w="182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r>
              <w:rPr>
                <w:rFonts w:hint="eastAsia" w:ascii="ＭＳ 明朝" w:hAnsi="ＭＳ 明朝"/>
                <w:color w:val="auto"/>
              </w:rPr>
              <w:t>施設の種類</w:t>
            </w:r>
          </w:p>
        </w:tc>
        <w:tc>
          <w:tcPr>
            <w:tcW w:w="136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r>
              <w:rPr>
                <w:rFonts w:hint="eastAsia" w:ascii="ＭＳ 明朝" w:hAnsi="ＭＳ 明朝"/>
                <w:color w:val="auto"/>
              </w:rPr>
              <w:t>位　　置</w:t>
            </w:r>
          </w:p>
        </w:tc>
        <w:tc>
          <w:tcPr>
            <w:tcW w:w="250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r>
              <w:rPr>
                <w:rFonts w:hint="eastAsia" w:ascii="ＭＳ 明朝" w:hAnsi="ＭＳ 明朝"/>
                <w:color w:val="auto"/>
              </w:rPr>
              <w:t>規　　　　模</w:t>
            </w:r>
          </w:p>
        </w:tc>
        <w:tc>
          <w:tcPr>
            <w:tcW w:w="1368"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r>
              <w:rPr>
                <w:rFonts w:hint="eastAsia" w:ascii="ＭＳ 明朝" w:hAnsi="ＭＳ 明朝"/>
                <w:color w:val="auto"/>
              </w:rPr>
              <w:t>対図番号</w:t>
            </w:r>
          </w:p>
        </w:tc>
        <w:tc>
          <w:tcPr>
            <w:tcW w:w="171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r>
              <w:rPr>
                <w:rFonts w:hint="eastAsia" w:ascii="ＭＳ 明朝" w:hAnsi="ＭＳ 明朝"/>
                <w:color w:val="auto"/>
              </w:rPr>
              <w:t>備　考</w:t>
            </w:r>
          </w:p>
        </w:tc>
        <w:tc>
          <w:tcPr>
            <w:tcW w:w="228" w:type="dxa"/>
            <w:vMerge w:val="restart"/>
            <w:tcBorders>
              <w:top w:val="nil"/>
              <w:left w:val="nil"/>
              <w:bottom w:val="nil"/>
              <w:right w:val="none" w:color="auto" w:sz="0" w:space="0"/>
              <w:tl2br w:val="none" w:color="auto" w:sz="0" w:space="0"/>
              <w:tr2bl w:val="none" w:color="auto" w:sz="0" w:space="0"/>
            </w:tcBorders>
            <w:vAlign w:val="top"/>
          </w:tcPr>
          <w:p>
            <w:pPr>
              <w:pStyle w:val="15"/>
              <w:jc w:val="center"/>
              <w:rPr>
                <w:rFonts w:hint="default" w:ascii="ＭＳ 明朝" w:hAnsi="ＭＳ 明朝" w:eastAsia="ＭＳ 明朝"/>
                <w:color w:val="auto"/>
                <w:spacing w:val="0"/>
              </w:rPr>
            </w:pPr>
          </w:p>
        </w:tc>
        <w:tc>
          <w:tcPr>
            <w:tcW w:w="114" w:type="dxa"/>
            <w:vMerge w:val="restart"/>
            <w:tcBorders>
              <w:top w:val="nil"/>
              <w:left w:val="nil"/>
              <w:bottom w:val="nil"/>
              <w:right w:val="nil"/>
              <w:tl2br w:val="none" w:color="auto" w:sz="0" w:space="0"/>
              <w:tr2bl w:val="none" w:color="auto" w:sz="0" w:space="0"/>
            </w:tcBorders>
            <w:vAlign w:val="top"/>
          </w:tcPr>
          <w:p>
            <w:pPr>
              <w:pStyle w:val="15"/>
              <w:jc w:val="center"/>
              <w:rPr>
                <w:rFonts w:hint="default" w:ascii="ＭＳ 明朝" w:hAnsi="ＭＳ 明朝" w:eastAsia="ＭＳ 明朝"/>
                <w:color w:val="auto"/>
                <w:spacing w:val="0"/>
              </w:rPr>
            </w:pPr>
          </w:p>
        </w:tc>
      </w:tr>
      <w:tr>
        <w:trPr>
          <w:cantSplit/>
          <w:trHeight w:val="139" w:hRule="exact"/>
        </w:trPr>
        <w:tc>
          <w:tcPr>
            <w:tcW w:w="34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ascii="ＭＳ 明朝" w:hAnsi="ＭＳ 明朝" w:eastAsia="ＭＳ 明朝"/>
                <w:spacing w:val="0"/>
              </w:rPr>
            </w:pPr>
          </w:p>
        </w:tc>
        <w:tc>
          <w:tcPr>
            <w:tcW w:w="182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ascii="ＭＳ 明朝" w:hAnsi="ＭＳ 明朝"/>
              </w:rPr>
            </w:pPr>
          </w:p>
        </w:tc>
        <w:tc>
          <w:tcPr>
            <w:tcW w:w="1368" w:type="dxa"/>
            <w:vMerge w:val="continue"/>
            <w:tcBorders>
              <w:top w:val="nil"/>
              <w:left w:val="nil"/>
              <w:bottom w:val="nil"/>
              <w:right w:val="single" w:color="000000" w:sz="4" w:space="0"/>
              <w:tl2br w:val="none" w:color="auto" w:sz="0" w:space="0"/>
              <w:tr2bl w:val="none" w:color="auto" w:sz="0" w:space="0"/>
            </w:tcBorders>
            <w:vAlign w:val="top"/>
          </w:tcPr>
          <w:p>
            <w:pPr>
              <w:pStyle w:val="0"/>
              <w:jc w:val="center"/>
              <w:rPr>
                <w:rFonts w:hint="default" w:ascii="ＭＳ 明朝" w:hAnsi="ＭＳ 明朝"/>
              </w:rPr>
            </w:pPr>
          </w:p>
        </w:tc>
        <w:tc>
          <w:tcPr>
            <w:tcW w:w="2508" w:type="dxa"/>
            <w:vMerge w:val="continue"/>
            <w:tcBorders>
              <w:top w:val="nil"/>
              <w:left w:val="nil"/>
              <w:bottom w:val="nil"/>
              <w:right w:val="single" w:color="000000" w:sz="4" w:space="0"/>
              <w:tl2br w:val="none" w:color="auto" w:sz="0" w:space="0"/>
              <w:tr2bl w:val="none" w:color="auto" w:sz="0" w:space="0"/>
            </w:tcBorders>
            <w:vAlign w:val="top"/>
          </w:tcPr>
          <w:p>
            <w:pPr>
              <w:pStyle w:val="0"/>
              <w:jc w:val="center"/>
              <w:rPr>
                <w:rFonts w:hint="default" w:ascii="ＭＳ 明朝" w:hAnsi="ＭＳ 明朝"/>
              </w:rPr>
            </w:pPr>
          </w:p>
        </w:tc>
        <w:tc>
          <w:tcPr>
            <w:tcW w:w="1368" w:type="dxa"/>
            <w:vMerge w:val="continue"/>
            <w:tcBorders>
              <w:top w:val="nil"/>
              <w:left w:val="nil"/>
              <w:bottom w:val="nil"/>
              <w:right w:val="single" w:color="000000" w:sz="4" w:space="0"/>
              <w:tl2br w:val="none" w:color="auto" w:sz="0" w:space="0"/>
              <w:tr2bl w:val="none" w:color="auto" w:sz="0" w:space="0"/>
            </w:tcBorders>
            <w:vAlign w:val="top"/>
          </w:tcPr>
          <w:p>
            <w:pPr>
              <w:pStyle w:val="0"/>
              <w:jc w:val="center"/>
              <w:rPr>
                <w:rFonts w:hint="default" w:ascii="ＭＳ 明朝" w:hAnsi="ＭＳ 明朝"/>
              </w:rPr>
            </w:pPr>
          </w:p>
        </w:tc>
        <w:tc>
          <w:tcPr>
            <w:tcW w:w="1710" w:type="dxa"/>
            <w:vMerge w:val="continue"/>
            <w:tcBorders>
              <w:top w:val="nil"/>
              <w:left w:val="nil"/>
              <w:bottom w:val="nil"/>
              <w:right w:val="single" w:color="000000" w:sz="4" w:space="0"/>
              <w:tl2br w:val="none" w:color="auto" w:sz="0" w:space="0"/>
              <w:tr2bl w:val="none" w:color="auto" w:sz="0" w:space="0"/>
            </w:tcBorders>
            <w:vAlign w:val="top"/>
          </w:tcPr>
          <w:p>
            <w:pPr>
              <w:pStyle w:val="0"/>
              <w:jc w:val="center"/>
              <w:rPr>
                <w:rFonts w:hint="default" w:ascii="ＭＳ 明朝" w:hAnsi="ＭＳ 明朝"/>
              </w:rPr>
            </w:pPr>
          </w:p>
        </w:tc>
        <w:tc>
          <w:tcPr>
            <w:tcW w:w="228" w:type="dxa"/>
            <w:vMerge w:val="continue"/>
            <w:tcBorders>
              <w:top w:val="nil"/>
              <w:left w:val="nil"/>
              <w:bottom w:val="nil"/>
              <w:right w:val="none" w:color="auto" w:sz="0" w:space="0"/>
              <w:tl2br w:val="none" w:color="auto" w:sz="0" w:space="0"/>
              <w:tr2bl w:val="none" w:color="auto" w:sz="0" w:space="0"/>
            </w:tcBorders>
            <w:vAlign w:val="top"/>
          </w:tcPr>
          <w:p>
            <w:pPr>
              <w:pStyle w:val="15"/>
              <w:wordWrap w:val="1"/>
              <w:spacing w:line="240" w:lineRule="auto"/>
              <w:rPr>
                <w:rFonts w:hint="default" w:ascii="ＭＳ 明朝" w:hAnsi="ＭＳ 明朝" w:eastAsia="ＭＳ 明朝"/>
                <w:spacing w:val="0"/>
              </w:rPr>
            </w:pPr>
          </w:p>
        </w:tc>
        <w:tc>
          <w:tcPr>
            <w:tcW w:w="114"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ascii="ＭＳ 明朝" w:hAnsi="ＭＳ 明朝" w:eastAsia="ＭＳ 明朝"/>
                <w:spacing w:val="0"/>
              </w:rPr>
            </w:pPr>
          </w:p>
        </w:tc>
      </w:tr>
      <w:tr>
        <w:trPr>
          <w:cantSplit/>
          <w:trHeight w:val="74" w:hRule="exact"/>
        </w:trPr>
        <w:tc>
          <w:tcPr>
            <w:tcW w:w="342" w:type="dxa"/>
            <w:vMerge w:val="restart"/>
            <w:tcBorders>
              <w:top w:val="nil"/>
              <w:left w:val="nil"/>
              <w:bottom w:val="nil"/>
              <w:right w:val="nil"/>
              <w:tl2br w:val="none" w:color="auto" w:sz="0" w:space="0"/>
              <w:tr2bl w:val="none" w:color="auto" w:sz="0" w:space="0"/>
            </w:tcBorders>
            <w:vAlign w:val="top"/>
          </w:tcPr>
          <w:p>
            <w:pPr>
              <w:pStyle w:val="15"/>
              <w:rPr>
                <w:rFonts w:hint="default" w:ascii="ＭＳ 明朝" w:hAnsi="ＭＳ 明朝" w:eastAsia="ＭＳ 明朝"/>
                <w:color w:val="auto"/>
                <w:spacing w:val="0"/>
              </w:rPr>
            </w:pPr>
          </w:p>
        </w:tc>
        <w:tc>
          <w:tcPr>
            <w:tcW w:w="18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p>
        </w:tc>
        <w:tc>
          <w:tcPr>
            <w:tcW w:w="1368" w:type="dxa"/>
            <w:tcBorders>
              <w:top w:val="nil"/>
              <w:left w:val="nil"/>
              <w:bottom w:val="single" w:color="000000" w:sz="4"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p>
        </w:tc>
        <w:tc>
          <w:tcPr>
            <w:tcW w:w="2508" w:type="dxa"/>
            <w:tcBorders>
              <w:top w:val="nil"/>
              <w:left w:val="nil"/>
              <w:bottom w:val="single" w:color="000000" w:sz="4"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p>
        </w:tc>
        <w:tc>
          <w:tcPr>
            <w:tcW w:w="1368" w:type="dxa"/>
            <w:tcBorders>
              <w:top w:val="nil"/>
              <w:left w:val="nil"/>
              <w:bottom w:val="single" w:color="auto" w:sz="4"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p>
        </w:tc>
        <w:tc>
          <w:tcPr>
            <w:tcW w:w="1710" w:type="dxa"/>
            <w:tcBorders>
              <w:top w:val="nil"/>
              <w:left w:val="nil"/>
              <w:bottom w:val="single" w:color="000000" w:sz="4" w:space="0"/>
              <w:right w:val="single" w:color="000000" w:sz="4" w:space="0"/>
              <w:tl2br w:val="none" w:color="auto" w:sz="0" w:space="0"/>
              <w:tr2bl w:val="none" w:color="auto" w:sz="0" w:space="0"/>
            </w:tcBorders>
            <w:vAlign w:val="top"/>
          </w:tcPr>
          <w:p>
            <w:pPr>
              <w:pStyle w:val="0"/>
              <w:jc w:val="center"/>
              <w:rPr>
                <w:rFonts w:hint="default" w:ascii="ＭＳ 明朝" w:hAnsi="ＭＳ 明朝"/>
                <w:color w:val="auto"/>
              </w:rPr>
            </w:pPr>
          </w:p>
        </w:tc>
        <w:tc>
          <w:tcPr>
            <w:tcW w:w="228" w:type="dxa"/>
            <w:vMerge w:val="restart"/>
            <w:tcBorders>
              <w:top w:val="nil"/>
              <w:left w:val="nil"/>
              <w:bottom w:val="nil"/>
              <w:right w:val="none" w:color="auto" w:sz="0" w:space="0"/>
              <w:tl2br w:val="none" w:color="auto" w:sz="0" w:space="0"/>
              <w:tr2bl w:val="none" w:color="auto" w:sz="0" w:space="0"/>
            </w:tcBorders>
            <w:vAlign w:val="top"/>
          </w:tcPr>
          <w:p>
            <w:pPr>
              <w:pStyle w:val="15"/>
              <w:rPr>
                <w:rFonts w:hint="default" w:ascii="ＭＳ 明朝" w:hAnsi="ＭＳ 明朝" w:eastAsia="ＭＳ 明朝"/>
                <w:color w:val="auto"/>
                <w:spacing w:val="0"/>
              </w:rPr>
            </w:pPr>
          </w:p>
        </w:tc>
        <w:tc>
          <w:tcPr>
            <w:tcW w:w="114" w:type="dxa"/>
            <w:vMerge w:val="restart"/>
            <w:tcBorders>
              <w:top w:val="nil"/>
              <w:left w:val="nil"/>
              <w:bottom w:val="nil"/>
              <w:right w:val="nil"/>
              <w:tl2br w:val="none" w:color="auto" w:sz="0" w:space="0"/>
              <w:tr2bl w:val="none" w:color="auto" w:sz="0" w:space="0"/>
            </w:tcBorders>
            <w:vAlign w:val="top"/>
          </w:tcPr>
          <w:p>
            <w:pPr>
              <w:pStyle w:val="15"/>
              <w:rPr>
                <w:rFonts w:hint="default" w:ascii="ＭＳ 明朝" w:hAnsi="ＭＳ 明朝" w:eastAsia="ＭＳ 明朝"/>
                <w:color w:val="auto"/>
                <w:spacing w:val="0"/>
              </w:rPr>
            </w:pPr>
          </w:p>
        </w:tc>
      </w:tr>
      <w:tr>
        <w:trPr>
          <w:cantSplit/>
          <w:trHeight w:val="553" w:hRule="exact"/>
        </w:trPr>
        <w:tc>
          <w:tcPr>
            <w:tcW w:w="342"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ascii="ＭＳ 明朝" w:hAnsi="ＭＳ 明朝" w:eastAsia="ＭＳ 明朝"/>
                <w:spacing w:val="0"/>
              </w:rPr>
            </w:pPr>
          </w:p>
        </w:tc>
        <w:tc>
          <w:tcPr>
            <w:tcW w:w="18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公園施設</w:t>
            </w:r>
          </w:p>
        </w:tc>
        <w:tc>
          <w:tcPr>
            <w:tcW w:w="136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更別地区</w:t>
            </w:r>
          </w:p>
        </w:tc>
        <w:tc>
          <w:tcPr>
            <w:tcW w:w="2508"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1.5km2</w:t>
            </w:r>
          </w:p>
        </w:tc>
        <w:tc>
          <w:tcPr>
            <w:tcW w:w="1368"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r>
              <w:rPr>
                <w:rFonts w:hint="eastAsia" w:ascii="ＭＳ 明朝" w:hAnsi="ＭＳ 明朝"/>
                <w:color w:val="auto"/>
              </w:rPr>
              <w:t>１</w:t>
            </w:r>
          </w:p>
        </w:tc>
        <w:tc>
          <w:tcPr>
            <w:tcW w:w="1710" w:type="dxa"/>
            <w:tcBorders>
              <w:top w:val="nil"/>
              <w:left w:val="nil"/>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rPr>
            </w:pPr>
          </w:p>
        </w:tc>
        <w:tc>
          <w:tcPr>
            <w:tcW w:w="228" w:type="dxa"/>
            <w:vMerge w:val="continue"/>
            <w:tcBorders>
              <w:top w:val="nil"/>
              <w:left w:val="nil"/>
              <w:bottom w:val="nil"/>
              <w:right w:val="none" w:color="auto" w:sz="0" w:space="0"/>
              <w:tl2br w:val="none" w:color="auto" w:sz="0" w:space="0"/>
              <w:tr2bl w:val="none" w:color="auto" w:sz="0" w:space="0"/>
            </w:tcBorders>
            <w:vAlign w:val="top"/>
          </w:tcPr>
          <w:p>
            <w:pPr>
              <w:pStyle w:val="15"/>
              <w:spacing w:before="141" w:beforeLines="0" w:beforeAutospacing="0"/>
              <w:rPr>
                <w:rFonts w:hint="default" w:ascii="ＭＳ 明朝" w:hAnsi="ＭＳ 明朝" w:eastAsia="ＭＳ 明朝"/>
                <w:spacing w:val="0"/>
              </w:rPr>
            </w:pPr>
          </w:p>
        </w:tc>
        <w:tc>
          <w:tcPr>
            <w:tcW w:w="114" w:type="dxa"/>
            <w:vMerge w:val="continue"/>
            <w:tcBorders>
              <w:top w:val="nil"/>
              <w:left w:val="nil"/>
              <w:bottom w:val="nil"/>
              <w:right w:val="nil"/>
              <w:tl2br w:val="none" w:color="auto" w:sz="0" w:space="0"/>
              <w:tr2bl w:val="none" w:color="auto" w:sz="0" w:space="0"/>
            </w:tcBorders>
            <w:vAlign w:val="top"/>
          </w:tcPr>
          <w:p>
            <w:pPr>
              <w:pStyle w:val="15"/>
              <w:spacing w:before="141" w:beforeLines="0" w:beforeAutospacing="0"/>
              <w:rPr>
                <w:rFonts w:hint="default" w:ascii="ＭＳ 明朝" w:hAnsi="ＭＳ 明朝" w:eastAsia="ＭＳ 明朝"/>
                <w:spacing w:val="0"/>
              </w:rPr>
            </w:pP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Ⅲ　森林の保護に関する事項</w:t>
      </w:r>
    </w:p>
    <w:p>
      <w:pPr>
        <w:pStyle w:val="0"/>
        <w:rPr>
          <w:rFonts w:hint="default" w:ascii="ＭＳ 明朝" w:hAnsi="ＭＳ 明朝"/>
          <w:color w:val="auto"/>
        </w:rPr>
      </w:pPr>
      <w:r>
        <w:rPr>
          <w:rFonts w:hint="eastAsia" w:ascii="ＭＳ 明朝" w:hAnsi="ＭＳ 明朝"/>
          <w:color w:val="auto"/>
        </w:rPr>
        <w:t>第１　鳥獣害の防止に関する事項</w:t>
      </w:r>
    </w:p>
    <w:p>
      <w:pPr>
        <w:pStyle w:val="0"/>
        <w:rPr>
          <w:rFonts w:hint="default" w:ascii="ＭＳ 明朝" w:hAnsi="ＭＳ 明朝"/>
          <w:color w:val="auto"/>
        </w:rPr>
      </w:pPr>
      <w:r>
        <w:rPr>
          <w:rFonts w:hint="eastAsia" w:ascii="ＭＳ 明朝" w:hAnsi="ＭＳ 明朝"/>
          <w:color w:val="auto"/>
        </w:rPr>
        <w:t>１　鳥獣害防止森林区域及び当該区域内における鳥獣害の防止の方法</w:t>
      </w:r>
    </w:p>
    <w:p>
      <w:pPr>
        <w:pStyle w:val="0"/>
        <w:ind w:left="210" w:hanging="210" w:hangingChars="100"/>
        <w:rPr>
          <w:rFonts w:hint="default" w:ascii="ＭＳ 明朝" w:hAnsi="ＭＳ 明朝"/>
          <w:color w:val="auto"/>
        </w:rPr>
      </w:pPr>
      <w:r>
        <w:rPr>
          <w:rFonts w:hint="eastAsia" w:ascii="ＭＳ 明朝" w:hAnsi="ＭＳ 明朝"/>
          <w:color w:val="auto"/>
        </w:rPr>
        <w:t>　　エゾシカによる森林の被害状況等に応じ、被害防止するため措置を実施すべき森林の区域及び当該区域内におけるエゾシカ被害防止の方法について、次のとおり定めます。</w:t>
      </w:r>
    </w:p>
    <w:p>
      <w:pPr>
        <w:pStyle w:val="0"/>
        <w:ind w:left="210" w:hanging="210" w:hangingChars="100"/>
        <w:rPr>
          <w:rFonts w:hint="default" w:ascii="ＭＳ 明朝" w:hAnsi="ＭＳ 明朝"/>
          <w:color w:val="auto"/>
        </w:rPr>
      </w:pPr>
      <w:r>
        <w:rPr>
          <w:rFonts w:hint="eastAsia" w:ascii="ＭＳ 明朝" w:hAnsi="ＭＳ 明朝"/>
          <w:color w:val="auto"/>
        </w:rPr>
        <w:t>　（１）　区域の設定</w:t>
      </w:r>
    </w:p>
    <w:p>
      <w:pPr>
        <w:pStyle w:val="0"/>
        <w:ind w:left="840" w:hanging="840" w:hangingChars="400"/>
        <w:rPr>
          <w:rFonts w:hint="default" w:ascii="ＭＳ 明朝" w:hAnsi="ＭＳ 明朝"/>
          <w:color w:val="auto"/>
        </w:rPr>
      </w:pPr>
      <w:r>
        <w:rPr>
          <w:rFonts w:hint="eastAsia" w:ascii="ＭＳ 明朝" w:hAnsi="ＭＳ 明朝"/>
          <w:color w:val="auto"/>
        </w:rPr>
        <w:t>　　　　　「鳥獣害防止森林区域の設定に関する基準について（平成</w:t>
      </w:r>
      <w:r>
        <w:rPr>
          <w:rFonts w:hint="eastAsia" w:ascii="ＭＳ 明朝" w:hAnsi="ＭＳ 明朝"/>
          <w:color w:val="auto"/>
        </w:rPr>
        <w:t>28</w:t>
      </w:r>
      <w:r>
        <w:rPr>
          <w:rFonts w:hint="eastAsia" w:ascii="ＭＳ 明朝" w:hAnsi="ＭＳ 明朝"/>
          <w:color w:val="auto"/>
        </w:rPr>
        <w:t>年</w:t>
      </w:r>
      <w:r>
        <w:rPr>
          <w:rFonts w:hint="eastAsia" w:ascii="ＭＳ 明朝" w:hAnsi="ＭＳ 明朝"/>
          <w:color w:val="auto"/>
        </w:rPr>
        <w:t>10</w:t>
      </w:r>
      <w:r>
        <w:rPr>
          <w:rFonts w:hint="eastAsia" w:ascii="ＭＳ 明朝" w:hAnsi="ＭＳ 明朝"/>
          <w:color w:val="auto"/>
        </w:rPr>
        <w:t>月</w:t>
      </w:r>
      <w:r>
        <w:rPr>
          <w:rFonts w:hint="eastAsia" w:ascii="ＭＳ 明朝" w:hAnsi="ＭＳ 明朝"/>
          <w:color w:val="auto"/>
        </w:rPr>
        <w:t>20</w:t>
      </w:r>
      <w:r>
        <w:rPr>
          <w:rFonts w:hint="eastAsia" w:ascii="ＭＳ 明朝" w:hAnsi="ＭＳ 明朝"/>
          <w:color w:val="auto"/>
        </w:rPr>
        <w:t>日付け</w:t>
      </w:r>
      <w:r>
        <w:rPr>
          <w:rFonts w:hint="eastAsia" w:ascii="ＭＳ 明朝" w:hAnsi="ＭＳ 明朝"/>
          <w:color w:val="auto"/>
        </w:rPr>
        <w:t>28</w:t>
      </w:r>
      <w:r>
        <w:rPr>
          <w:rFonts w:hint="eastAsia" w:ascii="ＭＳ 明朝" w:hAnsi="ＭＳ 明朝"/>
          <w:color w:val="auto"/>
        </w:rPr>
        <w:t>林整研第</w:t>
      </w:r>
      <w:r>
        <w:rPr>
          <w:rFonts w:hint="eastAsia" w:ascii="ＭＳ 明朝" w:hAnsi="ＭＳ 明朝"/>
          <w:color w:val="auto"/>
        </w:rPr>
        <w:t>180</w:t>
      </w:r>
      <w:r>
        <w:rPr>
          <w:rFonts w:hint="eastAsia" w:ascii="ＭＳ 明朝" w:hAnsi="ＭＳ 明朝"/>
          <w:color w:val="auto"/>
        </w:rPr>
        <w:t>号林野庁長官通知」に基づき、エゾシカによる森林被害の状況等を把握できる全国共通のデータ及び、エゾシカ被害マップデータ等に基づき、食害や剥皮等の被害がある森林又はそれら被害がある森林の周辺に位置し被害発生のおそれがあるなど、エゾシカによる被害を防止するための措置を実施すべき森林を林班単位で</w:t>
      </w:r>
      <w:r>
        <w:rPr>
          <w:rFonts w:hint="eastAsia" w:ascii="ＭＳ 明朝" w:hAnsi="ＭＳ 明朝"/>
          <w:color w:val="auto"/>
          <w:u w:val="single" w:color="auto"/>
        </w:rPr>
        <w:t>次表</w:t>
      </w:r>
      <w:r>
        <w:rPr>
          <w:rFonts w:hint="eastAsia" w:ascii="ＭＳ 明朝" w:hAnsi="ＭＳ 明朝"/>
          <w:color w:val="auto"/>
        </w:rPr>
        <w:t>のとおり定めます。また、区域は必要に応じ、試験研究機関の論文等の文献、森林における各種調査、地域住民等からの情報その他、エゾシカによる森林被害又は生息情報により補正することとします。</w:t>
      </w:r>
    </w:p>
    <w:p>
      <w:pPr>
        <w:pStyle w:val="0"/>
        <w:ind w:left="840" w:hanging="840" w:hangingChars="400"/>
        <w:rPr>
          <w:rFonts w:hint="default" w:ascii="ＭＳ 明朝" w:hAnsi="ＭＳ 明朝"/>
          <w:color w:val="auto"/>
        </w:rPr>
      </w:pPr>
    </w:p>
    <w:p>
      <w:pPr>
        <w:pStyle w:val="0"/>
        <w:ind w:left="840" w:hanging="840" w:hangingChars="400"/>
        <w:rPr>
          <w:rFonts w:hint="default" w:ascii="ＭＳ 明朝" w:hAnsi="ＭＳ 明朝"/>
          <w:color w:val="auto"/>
        </w:rPr>
      </w:pPr>
    </w:p>
    <w:tbl>
      <w:tblPr>
        <w:tblStyle w:val="11"/>
        <w:tblW w:w="8080"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03"/>
        <w:gridCol w:w="3279"/>
        <w:gridCol w:w="2198"/>
      </w:tblGrid>
      <w:tr>
        <w:trPr/>
        <w:tc>
          <w:tcPr>
            <w:tcW w:w="2603" w:type="dxa"/>
            <w:shd w:val="clear" w:color="auto" w:fill="auto"/>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対象鳥獣の種類</w:t>
            </w:r>
          </w:p>
        </w:tc>
        <w:tc>
          <w:tcPr>
            <w:tcW w:w="3279" w:type="dxa"/>
            <w:shd w:val="clear" w:color="auto" w:fill="auto"/>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森林の区域</w:t>
            </w:r>
          </w:p>
        </w:tc>
        <w:tc>
          <w:tcPr>
            <w:tcW w:w="2198" w:type="dxa"/>
            <w:shd w:val="clear" w:color="auto" w:fill="auto"/>
            <w:vAlign w:val="top"/>
          </w:tcPr>
          <w:p>
            <w:pPr>
              <w:pStyle w:val="0"/>
              <w:jc w:val="center"/>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面積（ｈａ）</w:t>
            </w:r>
          </w:p>
        </w:tc>
      </w:tr>
      <w:tr>
        <w:trPr/>
        <w:tc>
          <w:tcPr>
            <w:tcW w:w="2603" w:type="dxa"/>
            <w:shd w:val="clear" w:color="auto" w:fill="auto"/>
            <w:vAlign w:val="top"/>
          </w:tcPr>
          <w:p>
            <w:pPr>
              <w:pStyle w:val="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エゾシカ</w:t>
            </w:r>
          </w:p>
        </w:tc>
        <w:tc>
          <w:tcPr>
            <w:tcW w:w="3279" w:type="dxa"/>
            <w:shd w:val="clear" w:color="auto" w:fill="auto"/>
            <w:vAlign w:val="top"/>
          </w:tcPr>
          <w:p>
            <w:pPr>
              <w:pStyle w:val="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５林班、７林班、</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林班、</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林班、</w:t>
            </w:r>
            <w:r>
              <w:rPr>
                <w:rFonts w:hint="eastAsia" w:asciiTheme="minorEastAsia" w:hAnsiTheme="minorEastAsia" w:eastAsiaTheme="minorEastAsia"/>
                <w:color w:val="auto"/>
                <w:u w:val="none" w:color="auto"/>
              </w:rPr>
              <w:t>16</w:t>
            </w:r>
            <w:r>
              <w:rPr>
                <w:rFonts w:hint="eastAsia" w:asciiTheme="minorEastAsia" w:hAnsiTheme="minorEastAsia" w:eastAsiaTheme="minorEastAsia"/>
                <w:color w:val="auto"/>
                <w:u w:val="none" w:color="auto"/>
              </w:rPr>
              <w:t>林班から</w:t>
            </w:r>
            <w:r>
              <w:rPr>
                <w:rFonts w:hint="eastAsia" w:asciiTheme="minorEastAsia" w:hAnsiTheme="minorEastAsia" w:eastAsiaTheme="minorEastAsia"/>
                <w:color w:val="auto"/>
                <w:u w:val="none" w:color="auto"/>
              </w:rPr>
              <w:t>20</w:t>
            </w:r>
            <w:r>
              <w:rPr>
                <w:rFonts w:hint="eastAsia" w:asciiTheme="minorEastAsia" w:hAnsiTheme="minorEastAsia" w:eastAsiaTheme="minorEastAsia"/>
                <w:color w:val="auto"/>
                <w:u w:val="none" w:color="auto"/>
              </w:rPr>
              <w:t>林班</w:t>
            </w:r>
          </w:p>
        </w:tc>
        <w:tc>
          <w:tcPr>
            <w:tcW w:w="2198" w:type="dxa"/>
            <w:shd w:val="clear" w:color="auto" w:fill="auto"/>
            <w:vAlign w:val="top"/>
          </w:tcPr>
          <w:p>
            <w:pPr>
              <w:pStyle w:val="0"/>
              <w:jc w:val="lef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1,175.55ha</w:t>
            </w:r>
          </w:p>
        </w:tc>
      </w:tr>
    </w:tbl>
    <w:p>
      <w:pPr>
        <w:pStyle w:val="0"/>
        <w:ind w:left="840" w:hanging="840" w:hangingChars="400"/>
        <w:rPr>
          <w:rFonts w:hint="default" w:ascii="ＭＳ 明朝" w:hAnsi="ＭＳ 明朝"/>
          <w:color w:val="auto"/>
        </w:rPr>
      </w:pPr>
      <w:r>
        <w:rPr>
          <w:rFonts w:hint="eastAsia" w:ascii="ＭＳ 明朝" w:hAnsi="ＭＳ 明朝"/>
          <w:color w:val="auto"/>
        </w:rPr>
        <w:t>　</w:t>
      </w:r>
    </w:p>
    <w:p>
      <w:pPr>
        <w:pStyle w:val="0"/>
        <w:ind w:left="210" w:leftChars="100"/>
        <w:rPr>
          <w:rFonts w:hint="default" w:ascii="ＭＳ 明朝" w:hAnsi="ＭＳ 明朝"/>
          <w:color w:val="auto"/>
        </w:rPr>
      </w:pPr>
      <w:r>
        <w:rPr>
          <w:rFonts w:hint="eastAsia" w:ascii="ＭＳ 明朝" w:hAnsi="ＭＳ 明朝"/>
          <w:color w:val="auto"/>
        </w:rPr>
        <w:t>（２）　鳥獣害の防止の方法</w:t>
      </w:r>
    </w:p>
    <w:p>
      <w:pPr>
        <w:pStyle w:val="0"/>
        <w:ind w:left="840" w:leftChars="400" w:firstLine="210" w:firstLineChars="100"/>
        <w:rPr>
          <w:rFonts w:hint="default" w:ascii="ＭＳ 明朝" w:hAnsi="ＭＳ 明朝"/>
          <w:color w:val="auto"/>
        </w:rPr>
      </w:pPr>
      <w:r>
        <w:rPr>
          <w:rFonts w:hint="eastAsia" w:ascii="ＭＳ 明朝" w:hAnsi="ＭＳ 明朝"/>
          <w:color w:val="auto"/>
        </w:rPr>
        <w:t>本村では、森林の適確な更新及び造林木の確実な育成を図るため、特に人工植栽が予定されている森林を中心に鳥獣保護管理施策や農業被害対策等と連携・調整の上必要に応じ対策を講ずることとします。（関連計画：北海道エゾシカ管理計画、鳥獣被害防止計画）</w:t>
      </w:r>
    </w:p>
    <w:p>
      <w:pPr>
        <w:pStyle w:val="0"/>
        <w:ind w:left="840" w:leftChars="400" w:firstLine="210" w:firstLineChars="100"/>
        <w:rPr>
          <w:rFonts w:hint="default" w:ascii="ＭＳ 明朝" w:hAnsi="ＭＳ 明朝"/>
          <w:color w:val="auto"/>
        </w:rPr>
      </w:pPr>
      <w:r>
        <w:rPr>
          <w:rFonts w:hint="eastAsia" w:ascii="ＭＳ 明朝" w:hAnsi="ＭＳ 明朝"/>
          <w:color w:val="auto"/>
        </w:rPr>
        <w:t>特に、生息密度の高い地域においては巡回などにより被害状況等森林の状態を的確に把握し、被害が発生し、又はそのおそれのある森林については、森林組合や林業事業体等の関係機関と連携し、適切な鳥獣害対策を早期に行うよう努めることとします。</w:t>
      </w:r>
    </w:p>
    <w:p>
      <w:pPr>
        <w:pStyle w:val="0"/>
        <w:tabs>
          <w:tab w:val="left" w:leader="none" w:pos="567"/>
        </w:tabs>
        <w:ind w:firstLine="420" w:firstLineChars="200"/>
        <w:rPr>
          <w:rFonts w:hint="default" w:ascii="ＭＳ 明朝" w:hAnsi="ＭＳ 明朝"/>
          <w:color w:val="auto"/>
        </w:rPr>
      </w:pPr>
      <w:r>
        <w:rPr>
          <w:rFonts w:hint="eastAsia" w:ascii="ＭＳ 明朝" w:hAnsi="ＭＳ 明朝"/>
          <w:color w:val="auto"/>
        </w:rPr>
        <w:t>ア　捕獲</w:t>
      </w:r>
    </w:p>
    <w:p>
      <w:pPr>
        <w:pStyle w:val="0"/>
        <w:tabs>
          <w:tab w:val="left" w:leader="none" w:pos="567"/>
        </w:tabs>
        <w:ind w:left="210" w:leftChars="100" w:firstLine="210" w:firstLineChars="100"/>
        <w:rPr>
          <w:rFonts w:hint="default" w:ascii="ＭＳ 明朝" w:hAnsi="ＭＳ 明朝"/>
          <w:color w:val="auto"/>
        </w:rPr>
      </w:pPr>
      <w:r>
        <w:rPr>
          <w:rFonts w:hint="eastAsia" w:ascii="ＭＳ 明朝" w:hAnsi="ＭＳ 明朝"/>
          <w:color w:val="auto"/>
        </w:rPr>
        <w:t>　　わな捕獲（くくりわな）、狙撃等の銃器による捕獲等を実施します。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その他必要な事項</w:t>
      </w:r>
    </w:p>
    <w:p>
      <w:pPr>
        <w:pStyle w:val="0"/>
        <w:ind w:left="210" w:hanging="210" w:hangingChars="100"/>
        <w:rPr>
          <w:rFonts w:hint="default" w:ascii="ＭＳ 明朝" w:hAnsi="ＭＳ 明朝"/>
          <w:color w:val="auto"/>
        </w:rPr>
      </w:pPr>
      <w:r>
        <w:rPr>
          <w:rFonts w:hint="eastAsia" w:ascii="ＭＳ 明朝" w:hAnsi="ＭＳ 明朝"/>
          <w:color w:val="auto"/>
        </w:rPr>
        <w:t>　　鳥獣害防止森林区域においては、エゾシカの被害防止対策が適切に実施されているかどうかを現地調査や各種会議での情報交換、林業事業体や森林所有者等からの情報収集等を行うこと等により確認することとします。</w:t>
      </w:r>
    </w:p>
    <w:p>
      <w:pPr>
        <w:pStyle w:val="0"/>
        <w:ind w:left="210" w:leftChars="100" w:firstLine="210" w:firstLineChars="100"/>
        <w:rPr>
          <w:rFonts w:hint="default" w:ascii="ＭＳ 明朝" w:hAnsi="ＭＳ 明朝"/>
          <w:color w:val="auto"/>
        </w:rPr>
      </w:pPr>
      <w:r>
        <w:rPr>
          <w:rFonts w:hint="eastAsia" w:ascii="ＭＳ 明朝" w:hAnsi="ＭＳ 明朝"/>
          <w:color w:val="auto"/>
        </w:rPr>
        <w:t>また、食害の生じるおそれがある地域については、造林樹種の選定にあたりアカエゾマツ等の嗜好性の低い樹種の植栽を検討することとします。</w:t>
      </w:r>
    </w:p>
    <w:p>
      <w:pPr>
        <w:pStyle w:val="0"/>
        <w:rPr>
          <w:rFonts w:hint="default" w:ascii="ＭＳ 明朝" w:hAnsi="ＭＳ 明朝"/>
          <w:color w:val="auto"/>
        </w:rPr>
      </w:pPr>
    </w:p>
    <w:p>
      <w:pPr>
        <w:pStyle w:val="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rPr>
        <w:t>第２　森林病害虫の駆</w:t>
      </w:r>
      <w:r>
        <w:rPr>
          <w:rFonts w:hint="eastAsia" w:asciiTheme="minorEastAsia" w:hAnsiTheme="minorEastAsia" w:eastAsiaTheme="minorEastAsia"/>
          <w:color w:val="auto"/>
          <w:u w:val="none" w:color="auto"/>
        </w:rPr>
        <w:t>除及び予防、火災の予防その他森林の保護に関する事項</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u w:val="none" w:color="auto"/>
        </w:rPr>
        <w:t>１　森林病害虫等の駆除及び</w:t>
      </w:r>
      <w:r>
        <w:rPr>
          <w:rFonts w:hint="eastAsia" w:asciiTheme="minorEastAsia" w:hAnsiTheme="minorEastAsia" w:eastAsiaTheme="minorEastAsia"/>
          <w:color w:val="auto"/>
        </w:rPr>
        <w:t>予防の方法</w:t>
      </w:r>
    </w:p>
    <w:p>
      <w:pPr>
        <w:pStyle w:val="0"/>
        <w:ind w:firstLine="210"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（１）　森林病害虫の駆除及び予防の方針及び方法</w:t>
      </w:r>
    </w:p>
    <w:p>
      <w:pPr>
        <w:pStyle w:val="0"/>
        <w:ind w:left="840" w:leftChars="400" w:firstLine="210"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森林病害虫等の駆除及び予防については、被害の未然防止や早期発見に努め、当該病害虫等の種類や被害の程度に応じ、薬剤の散布、被害木等の伐倒・整理など適切な方法により防除を行うものとします。</w:t>
      </w:r>
    </w:p>
    <w:p>
      <w:pPr>
        <w:pStyle w:val="0"/>
        <w:ind w:left="840" w:leftChars="400" w:firstLine="210"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特に、カシノナガキクイムシによるナラ枯れ被害については、本村では確認されていませんが、渡島檜山森林計画区において確認され、拡大しています。今後急速に拡大した場合、ナラ類資源の保続に大きな影響を与えるおそれがあることから、被害木を早期発見するため、関係機関が連携して巡視活動を行うとともに、森林所有者や地域住民の協力が得られるよう普及啓発に努めることとします。</w:t>
      </w:r>
    </w:p>
    <w:p>
      <w:pPr>
        <w:pStyle w:val="0"/>
        <w:ind w:left="840" w:leftChars="400" w:firstLine="210"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さらに、被害地の近隣での未然防止に努めるとともに、被害木が発見された場合には、被害発生地の状況を考慮した上で適切に処理を行うなど、関係機関が連携してナラ枯れ被害の拡大防止に努めることとします。</w:t>
      </w:r>
    </w:p>
    <w:p>
      <w:pPr>
        <w:pStyle w:val="0"/>
        <w:ind w:left="840" w:leftChars="400" w:firstLine="210"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なお、森林病害虫等のまん延のために緊急に伐倒駆除する必要が生じた場合等については、伐採の促進に関する指導等を行うことがあります。</w:t>
      </w:r>
    </w:p>
    <w:p>
      <w:pPr>
        <w:pStyle w:val="0"/>
        <w:ind w:firstLine="210"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（２）　その他</w:t>
      </w:r>
    </w:p>
    <w:p>
      <w:pPr>
        <w:pStyle w:val="0"/>
        <w:ind w:left="840" w:leftChars="400" w:firstLine="210"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森林病害虫等の被害の未然防止、早期発見及び薬剤等による早期駆除などにあたっては、本村や北海道十勝総合振興局、森林組合、試験研究機関、森林所有者ほか関係者が連携し、被害の程度に応じた対応をすることとする。</w:t>
      </w:r>
    </w:p>
    <w:p>
      <w:pPr>
        <w:pStyle w:val="0"/>
        <w:ind w:left="840" w:leftChars="400" w:firstLine="210" w:firstLineChars="1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　鳥獣害対策の方法（鳥獣害防止森林区域以外）</w:t>
      </w:r>
    </w:p>
    <w:p>
      <w:pPr>
        <w:pStyle w:val="0"/>
        <w:ind w:left="840" w:leftChars="100" w:hanging="630" w:hangingChars="300"/>
        <w:rPr>
          <w:rFonts w:hint="default" w:ascii="ＭＳ 明朝" w:hAnsi="ＭＳ 明朝"/>
          <w:color w:val="auto"/>
        </w:rPr>
      </w:pPr>
      <w:r>
        <w:rPr>
          <w:rFonts w:hint="eastAsia" w:ascii="ＭＳ 明朝" w:hAnsi="ＭＳ 明朝"/>
          <w:color w:val="auto"/>
        </w:rPr>
        <w:t>（１）　エゾヤチネズミによる食害の発生を防ぐため、カラマツ植栽地においてはネズミの生息場所となる枝条のたい積を避けるとともに、可能な場合は耐そ性の高い樹種を植栽する等の対策を行います。また、ネズミの発生動向も踏まえ、必要に応じて殺そ剤の散布や防そ溝の設置等の対策を実施することとします。</w:t>
      </w:r>
    </w:p>
    <w:p>
      <w:pPr>
        <w:pStyle w:val="0"/>
        <w:ind w:left="840" w:leftChars="100" w:hanging="630" w:hangingChars="300"/>
        <w:rPr>
          <w:rFonts w:hint="default" w:ascii="ＭＳ 明朝" w:hAnsi="ＭＳ 明朝"/>
          <w:color w:val="auto"/>
        </w:rPr>
      </w:pPr>
      <w:r>
        <w:rPr>
          <w:rFonts w:hint="eastAsia" w:ascii="ＭＳ 明朝" w:hAnsi="ＭＳ 明朝"/>
          <w:color w:val="auto"/>
        </w:rPr>
        <w:t>（２）　鳥獣害防止森林区域外のエゾシカ及びその他の野生鳥獣による被害については、その早期発見に努めるとともに、試験研究機関等と連携し、発生原因の究明及び防除技術の開発等を行い早期防除に努めることとします。</w:t>
      </w:r>
    </w:p>
    <w:p>
      <w:pPr>
        <w:pStyle w:val="0"/>
        <w:ind w:left="840" w:leftChars="100" w:hanging="630" w:hangingChars="300"/>
        <w:rPr>
          <w:rFonts w:hint="default" w:ascii="ＭＳ 明朝" w:hAnsi="ＭＳ 明朝"/>
          <w:color w:val="auto"/>
        </w:rPr>
      </w:pPr>
      <w:r>
        <w:rPr>
          <w:rFonts w:hint="eastAsia" w:ascii="ＭＳ 明朝" w:hAnsi="ＭＳ 明朝"/>
          <w:color w:val="auto"/>
        </w:rPr>
        <w:t>（３）　森林の保護にあたっては、森林組合、林業事業体等の関係機関及び地域住民との一層の協力のもとに、必要に応じて、野生鳥獣の生息環境となる針広混交の育成複層林や天然生林に誘導する等、野生鳥獣との共存に配慮した対策を適切に推進することとします。</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林野火災の予防の方法</w:t>
      </w:r>
    </w:p>
    <w:p>
      <w:pPr>
        <w:pStyle w:val="0"/>
        <w:rPr>
          <w:rFonts w:hint="default" w:ascii="ＭＳ 明朝" w:hAnsi="ＭＳ 明朝"/>
          <w:color w:val="auto"/>
        </w:rPr>
      </w:pPr>
      <w:r>
        <w:rPr>
          <w:rFonts w:hint="eastAsia" w:ascii="ＭＳ 明朝" w:hAnsi="ＭＳ 明朝"/>
          <w:color w:val="auto"/>
        </w:rPr>
        <w:t>　　山火事による森林被害を未然に防止するため、森林の巡視活動やポスター等を利用した予防啓発</w:t>
      </w:r>
    </w:p>
    <w:p>
      <w:pPr>
        <w:pStyle w:val="0"/>
        <w:tabs>
          <w:tab w:val="left" w:leader="none" w:pos="284"/>
        </w:tabs>
        <w:ind w:firstLine="210" w:firstLineChars="100"/>
        <w:rPr>
          <w:rFonts w:hint="default" w:ascii="ＭＳ 明朝" w:hAnsi="ＭＳ 明朝"/>
          <w:color w:val="auto"/>
        </w:rPr>
      </w:pPr>
      <w:r>
        <w:rPr>
          <w:rFonts w:hint="eastAsia" w:ascii="ＭＳ 明朝" w:hAnsi="ＭＳ 明朝"/>
          <w:color w:val="auto"/>
        </w:rPr>
        <w:t>を行うこととします。</w:t>
      </w:r>
    </w:p>
    <w:p>
      <w:pPr>
        <w:pStyle w:val="0"/>
        <w:ind w:firstLine="420" w:firstLineChars="200"/>
        <w:rPr>
          <w:rFonts w:hint="default" w:ascii="ＭＳ 明朝" w:hAnsi="ＭＳ 明朝"/>
          <w:color w:val="auto"/>
        </w:rPr>
      </w:pPr>
      <w:r>
        <w:rPr>
          <w:rFonts w:hint="eastAsia" w:ascii="ＭＳ 明朝" w:hAnsi="ＭＳ 明朝"/>
          <w:color w:val="auto"/>
        </w:rPr>
        <w:t>なお、森林の巡視は森林レクリエーションのための利用者が特に多い地域を重点的に行い、また、</w:t>
      </w:r>
    </w:p>
    <w:p>
      <w:pPr>
        <w:pStyle w:val="0"/>
        <w:ind w:firstLine="210" w:firstLineChars="100"/>
        <w:rPr>
          <w:rFonts w:hint="default" w:ascii="ＭＳ 明朝" w:hAnsi="ＭＳ 明朝"/>
          <w:color w:val="auto"/>
        </w:rPr>
      </w:pPr>
      <w:r>
        <w:rPr>
          <w:rFonts w:hint="eastAsia" w:ascii="ＭＳ 明朝" w:hAnsi="ＭＳ 明朝"/>
          <w:color w:val="auto"/>
        </w:rPr>
        <w:t>春先の乾燥時期には巡視活動を強化し、山火事の発生防止に努めることとします。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４　森林病害虫の駆除等のための火入れを実施する場合の留意事項</w:t>
      </w:r>
    </w:p>
    <w:p>
      <w:pPr>
        <w:pStyle w:val="0"/>
        <w:rPr>
          <w:rFonts w:hint="default" w:ascii="ＭＳ 明朝" w:hAnsi="ＭＳ 明朝"/>
          <w:color w:val="auto"/>
        </w:rPr>
      </w:pPr>
      <w:r>
        <w:rPr>
          <w:rFonts w:hint="eastAsia" w:ascii="ＭＳ 明朝" w:hAnsi="ＭＳ 明朝"/>
          <w:color w:val="auto"/>
        </w:rPr>
        <w:t>　　火入れに関しては、「更別村火入れに関する条例」その他関係法令に基づき行うこととします。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５　その他必要な事項</w:t>
      </w:r>
    </w:p>
    <w:p>
      <w:pPr>
        <w:pStyle w:val="0"/>
        <w:ind w:firstLine="210" w:firstLineChars="100"/>
        <w:rPr>
          <w:rFonts w:hint="default" w:ascii="ＭＳ 明朝" w:hAnsi="ＭＳ 明朝"/>
          <w:color w:val="auto"/>
        </w:rPr>
      </w:pPr>
      <w:r>
        <w:rPr>
          <w:rFonts w:hint="eastAsia" w:ascii="ＭＳ 明朝" w:hAnsi="ＭＳ 明朝"/>
          <w:color w:val="auto"/>
        </w:rPr>
        <w:t>（１）　病虫害の被害を受けている等の理由により伐採を促進すべき森林</w:t>
      </w:r>
    </w:p>
    <w:p>
      <w:pPr>
        <w:pStyle w:val="0"/>
        <w:ind w:firstLine="1050" w:firstLineChars="500"/>
        <w:rPr>
          <w:rFonts w:hint="default" w:ascii="ＭＳ 明朝" w:hAnsi="ＭＳ 明朝"/>
          <w:color w:val="auto"/>
        </w:rPr>
      </w:pPr>
      <w:r>
        <w:rPr>
          <w:rFonts w:hint="eastAsia" w:ascii="ＭＳ 明朝" w:hAnsi="ＭＳ 明朝"/>
          <w:color w:val="auto"/>
        </w:rPr>
        <w:t>該当なし</w:t>
      </w:r>
    </w:p>
    <w:p>
      <w:pPr>
        <w:pStyle w:val="0"/>
        <w:ind w:firstLine="210" w:firstLineChars="100"/>
        <w:rPr>
          <w:rFonts w:hint="default" w:ascii="ＭＳ 明朝" w:hAnsi="ＭＳ 明朝"/>
          <w:color w:val="auto"/>
        </w:rPr>
      </w:pPr>
      <w:r>
        <w:rPr>
          <w:rFonts w:hint="eastAsia" w:ascii="ＭＳ 明朝" w:hAnsi="ＭＳ 明朝"/>
          <w:color w:val="auto"/>
        </w:rPr>
        <w:t>（２）　その他</w:t>
      </w:r>
    </w:p>
    <w:p>
      <w:pPr>
        <w:pStyle w:val="0"/>
        <w:ind w:left="840" w:hanging="840" w:hangingChars="400"/>
        <w:rPr>
          <w:rFonts w:hint="default" w:ascii="ＭＳ 明朝" w:hAnsi="ＭＳ 明朝"/>
          <w:color w:val="auto"/>
        </w:rPr>
      </w:pPr>
      <w:r>
        <w:rPr>
          <w:rFonts w:hint="eastAsia" w:ascii="ＭＳ 明朝" w:hAnsi="ＭＳ 明朝"/>
          <w:color w:val="auto"/>
        </w:rPr>
        <w:t>　　　　　気象害については過去の被害事例を参考に保護樹帯を設けるなどし、被害の防止対策に努めることとします。</w:t>
      </w:r>
    </w:p>
    <w:p>
      <w:pPr>
        <w:pStyle w:val="0"/>
        <w:ind w:left="840" w:hanging="840" w:hangingChars="4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Ⅳ　森林の保健機能の増進に関する事項</w:t>
      </w:r>
    </w:p>
    <w:p>
      <w:pPr>
        <w:pStyle w:val="0"/>
        <w:rPr>
          <w:rFonts w:hint="default" w:ascii="ＭＳ 明朝" w:hAnsi="ＭＳ 明朝"/>
          <w:dstrike w:val="1"/>
          <w:color w:val="auto"/>
        </w:rPr>
      </w:pPr>
      <w:r>
        <w:rPr>
          <w:rFonts w:hint="eastAsia" w:ascii="ＭＳ 明朝" w:hAnsi="ＭＳ 明朝"/>
          <w:color w:val="auto"/>
        </w:rPr>
        <w:t>　　該当なし</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Ⅴ　その他森林の整備のために必要な事項</w:t>
      </w:r>
    </w:p>
    <w:p>
      <w:pPr>
        <w:pStyle w:val="0"/>
        <w:rPr>
          <w:rFonts w:hint="default" w:ascii="ＭＳ 明朝" w:hAnsi="ＭＳ 明朝"/>
          <w:color w:val="auto"/>
        </w:rPr>
      </w:pPr>
      <w:r>
        <w:rPr>
          <w:rFonts w:hint="eastAsia" w:ascii="ＭＳ 明朝" w:hAnsi="ＭＳ 明朝"/>
          <w:color w:val="auto"/>
        </w:rPr>
        <w:t>１　森林経営計画の作成に関する事項</w:t>
      </w:r>
    </w:p>
    <w:p>
      <w:pPr>
        <w:pStyle w:val="0"/>
        <w:ind w:left="420" w:hanging="420" w:hangingChars="200"/>
        <w:rPr>
          <w:rFonts w:hint="default" w:ascii="ＭＳ 明朝" w:hAnsi="ＭＳ 明朝"/>
          <w:color w:val="auto"/>
        </w:rPr>
      </w:pPr>
      <w:r>
        <w:rPr>
          <w:rFonts w:hint="eastAsia" w:ascii="ＭＳ 明朝" w:hAnsi="ＭＳ 明朝"/>
          <w:color w:val="auto"/>
        </w:rPr>
        <w:t>　　　森林所有者等が森林経営計画を作成し計画に基づいた施業を行うことは、更別村森林整備計画の達成に寄与するものであることから、森林所有者等に対する制度の周知や計画の作成を支援することとします。</w:t>
      </w:r>
    </w:p>
    <w:p>
      <w:pPr>
        <w:pStyle w:val="0"/>
        <w:ind w:left="420" w:leftChars="200" w:firstLine="210" w:firstLineChars="100"/>
        <w:rPr>
          <w:rFonts w:hint="default" w:ascii="ＭＳ 明朝" w:hAnsi="ＭＳ 明朝"/>
          <w:color w:val="auto"/>
        </w:rPr>
      </w:pPr>
      <w:r>
        <w:rPr>
          <w:rFonts w:hint="eastAsia" w:ascii="ＭＳ 明朝" w:hAnsi="ＭＳ 明朝"/>
          <w:color w:val="auto"/>
        </w:rPr>
        <w:t>なお、森林経営計画の作成にあたっては、次の事項について適切に計画することとします。</w:t>
      </w:r>
    </w:p>
    <w:p>
      <w:pPr>
        <w:pStyle w:val="0"/>
        <w:ind w:firstLine="210" w:firstLineChars="100"/>
        <w:rPr>
          <w:rFonts w:hint="default" w:ascii="ＭＳ 明朝" w:hAnsi="ＭＳ 明朝"/>
          <w:color w:val="auto"/>
        </w:rPr>
      </w:pPr>
      <w:r>
        <w:rPr>
          <w:rFonts w:hint="eastAsia" w:ascii="ＭＳ 明朝" w:hAnsi="ＭＳ 明朝"/>
          <w:color w:val="auto"/>
        </w:rPr>
        <w:t>（１）　Ⅱの第２の３の植栽によらなければ適確な更新が困難な森林における主伐後の植栽</w:t>
      </w:r>
    </w:p>
    <w:p>
      <w:pPr>
        <w:pStyle w:val="0"/>
        <w:ind w:firstLine="210" w:firstLineChars="100"/>
        <w:rPr>
          <w:rFonts w:hint="default" w:ascii="ＭＳ 明朝" w:hAnsi="ＭＳ 明朝"/>
          <w:color w:val="auto"/>
        </w:rPr>
      </w:pPr>
      <w:r>
        <w:rPr>
          <w:rFonts w:hint="eastAsia" w:ascii="ＭＳ 明朝" w:hAnsi="ＭＳ 明朝"/>
          <w:color w:val="auto"/>
        </w:rPr>
        <w:t>（２）　Ⅱの第４の公益的機能別施業森林の施業方法</w:t>
      </w:r>
    </w:p>
    <w:p>
      <w:pPr>
        <w:pStyle w:val="0"/>
        <w:ind w:left="840" w:leftChars="100" w:hanging="630" w:hangingChars="300"/>
        <w:rPr>
          <w:rFonts w:hint="default" w:ascii="ＭＳ 明朝" w:hAnsi="ＭＳ 明朝"/>
          <w:color w:val="auto"/>
        </w:rPr>
      </w:pPr>
      <w:r>
        <w:rPr>
          <w:rFonts w:hint="eastAsia" w:ascii="ＭＳ 明朝" w:hAnsi="ＭＳ 明朝"/>
          <w:color w:val="auto"/>
        </w:rPr>
        <w:t>（３）　Ⅱの第６の３の森林の施業または経営の受託等を実施する上で留意すべき事項及びⅡの第７の３の共同して森林施業を実施する上で留意すべき事項</w:t>
      </w:r>
    </w:p>
    <w:p>
      <w:pPr>
        <w:pStyle w:val="0"/>
        <w:ind w:firstLine="210" w:firstLineChars="100"/>
        <w:rPr>
          <w:rFonts w:hint="default" w:ascii="ＭＳ 明朝" w:hAnsi="ＭＳ 明朝"/>
          <w:color w:val="auto"/>
        </w:rPr>
      </w:pPr>
      <w:r>
        <w:rPr>
          <w:rFonts w:hint="eastAsia" w:ascii="ＭＳ 明朝" w:hAnsi="ＭＳ 明朝"/>
          <w:color w:val="auto"/>
        </w:rPr>
        <w:t>（４）　Ⅲの森林病害虫の駆除または予防その他森林の保護に関する事項</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２　森林の整備を通じた地域振興に関する事項</w:t>
      </w:r>
    </w:p>
    <w:p>
      <w:pPr>
        <w:pStyle w:val="0"/>
        <w:rPr>
          <w:rFonts w:hint="default" w:ascii="ＭＳ 明朝" w:hAnsi="ＭＳ 明朝"/>
          <w:color w:val="auto"/>
        </w:rPr>
      </w:pPr>
      <w:r>
        <w:rPr>
          <w:rFonts w:hint="eastAsia" w:ascii="ＭＳ 明朝" w:hAnsi="ＭＳ 明朝"/>
          <w:color w:val="auto"/>
        </w:rPr>
        <w:t>　　該当なし</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森林の総合利用の推進に関する事項</w:t>
      </w:r>
    </w:p>
    <w:p>
      <w:pPr>
        <w:pStyle w:val="0"/>
        <w:rPr>
          <w:rFonts w:hint="default" w:ascii="ＭＳ 明朝" w:hAnsi="ＭＳ 明朝"/>
          <w:color w:val="auto"/>
        </w:rPr>
      </w:pPr>
      <w:r>
        <w:rPr>
          <w:rFonts w:hint="eastAsia" w:ascii="ＭＳ 明朝" w:hAnsi="ＭＳ 明朝"/>
          <w:color w:val="auto"/>
        </w:rPr>
        <w:t>　　該当なし</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４　住民参加による森林の整備に関する事項</w:t>
      </w:r>
    </w:p>
    <w:p>
      <w:pPr>
        <w:pStyle w:val="0"/>
        <w:overflowPunct w:val="0"/>
        <w:ind w:left="210" w:leftChars="100" w:firstLine="210" w:firstLineChars="100"/>
        <w:textAlignment w:val="baseline"/>
        <w:rPr>
          <w:rFonts w:hint="default" w:ascii="ＭＳ 明朝" w:hAnsi="ＭＳ 明朝"/>
          <w:color w:val="auto"/>
          <w:kern w:val="0"/>
        </w:rPr>
      </w:pPr>
      <w:r>
        <w:rPr>
          <w:rFonts w:hint="eastAsia" w:ascii="ＭＳ 明朝" w:hAnsi="ＭＳ 明朝"/>
          <w:color w:val="auto"/>
          <w:kern w:val="0"/>
        </w:rPr>
        <w:t>森林整備に対しては、地域住民の要請として天然林の保護や広葉樹の植栽等がありますが、関心が高いとはいえない状況にあります。</w:t>
      </w:r>
    </w:p>
    <w:p>
      <w:pPr>
        <w:pStyle w:val="0"/>
        <w:overflowPunct w:val="0"/>
        <w:ind w:left="210" w:leftChars="100" w:firstLine="210" w:firstLineChars="100"/>
        <w:textAlignment w:val="baseline"/>
        <w:rPr>
          <w:rFonts w:hint="default" w:ascii="ＭＳ 明朝" w:hAnsi="ＭＳ 明朝"/>
          <w:color w:val="auto"/>
          <w:kern w:val="0"/>
        </w:rPr>
      </w:pPr>
      <w:r>
        <w:rPr>
          <w:rFonts w:hint="eastAsia" w:ascii="ＭＳ 明朝" w:hAnsi="ＭＳ 明朝"/>
          <w:color w:val="auto"/>
          <w:kern w:val="0"/>
        </w:rPr>
        <w:t>北海道森林づくり条例の基本理念の一つである「道民、森林所有者、事業者及び道の適切な役割分担を通じた協働による森林づくり」を進めるためには、森林の持つ多面的機能の効用を享受している地域住民の森林整備に対する理解が不可欠です。</w:t>
      </w:r>
    </w:p>
    <w:p>
      <w:pPr>
        <w:pStyle w:val="0"/>
        <w:ind w:left="210" w:leftChars="100" w:firstLine="210" w:firstLineChars="100"/>
        <w:rPr>
          <w:rFonts w:hint="default" w:ascii="ＭＳ 明朝" w:hAnsi="ＭＳ 明朝"/>
          <w:color w:val="auto"/>
        </w:rPr>
      </w:pPr>
      <w:r>
        <w:rPr>
          <w:rFonts w:hint="eastAsia" w:ascii="ＭＳ 明朝" w:hAnsi="ＭＳ 明朝"/>
          <w:color w:val="auto"/>
        </w:rPr>
        <w:t>このことから、「木とふれあい、木に学び、木と生きる」を基本とする「木育」の取組みを推進し、地域林業の指導的立場にある森林室と連携をとりながら植樹祭や育林祭等、住民参加型森林整備事業を実施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５　その他必要な事項</w:t>
      </w:r>
    </w:p>
    <w:p>
      <w:pPr>
        <w:pStyle w:val="0"/>
        <w:tabs>
          <w:tab w:val="left" w:leader="none" w:pos="567"/>
          <w:tab w:val="left" w:leader="none" w:pos="851"/>
        </w:tabs>
        <w:ind w:firstLine="210" w:firstLineChars="100"/>
        <w:rPr>
          <w:rFonts w:hint="default" w:ascii="ＭＳ 明朝" w:hAnsi="ＭＳ 明朝"/>
          <w:color w:val="auto"/>
        </w:rPr>
      </w:pPr>
      <w:r>
        <w:rPr>
          <w:rFonts w:hint="eastAsia" w:ascii="ＭＳ 明朝" w:hAnsi="ＭＳ 明朝"/>
          <w:color w:val="auto"/>
        </w:rPr>
        <w:t>（１）　特定保安林の整備に関する事項</w:t>
      </w:r>
    </w:p>
    <w:p>
      <w:pPr>
        <w:pStyle w:val="0"/>
        <w:ind w:left="840" w:hanging="840" w:hangingChars="400"/>
        <w:rPr>
          <w:rFonts w:hint="default" w:ascii="ＭＳ 明朝" w:hAnsi="ＭＳ 明朝"/>
          <w:color w:val="auto"/>
        </w:rPr>
      </w:pPr>
      <w:r>
        <w:rPr>
          <w:rFonts w:hint="eastAsia" w:ascii="ＭＳ 明朝" w:hAnsi="ＭＳ 明朝"/>
          <w:color w:val="auto"/>
        </w:rPr>
        <w:t>　　　　　特定保安林は、指定の目的に即して機能していないと認められる保安林です。その整備にあたっては、間伐等の必要な施業を積極的かつ計画的に推進し、当該目的に即した機能の確保を　図ることとします。</w:t>
      </w:r>
    </w:p>
    <w:p>
      <w:pPr>
        <w:pStyle w:val="0"/>
        <w:ind w:left="840" w:leftChars="400" w:firstLine="210" w:firstLineChars="100"/>
        <w:rPr>
          <w:rFonts w:hint="default" w:ascii="ＭＳ 明朝" w:hAnsi="ＭＳ 明朝"/>
          <w:color w:val="auto"/>
        </w:rPr>
      </w:pPr>
      <w:r>
        <w:rPr>
          <w:rFonts w:hint="eastAsia" w:ascii="ＭＳ 明朝" w:hAnsi="ＭＳ 明朝"/>
          <w:color w:val="auto"/>
        </w:rPr>
        <w:t>特に造林、保育、伐採その他の施業を早急に実施する必要がある森林については「要整備森林」とし、森林の現況等に応じて必要な施業の方法及び時期を明らかにした上で、その実施の確保を図ることとします。</w:t>
      </w:r>
    </w:p>
    <w:p>
      <w:pPr>
        <w:pStyle w:val="0"/>
        <w:ind w:left="630" w:leftChars="300" w:firstLine="420" w:firstLineChars="200"/>
        <w:rPr>
          <w:rFonts w:hint="default" w:ascii="ＭＳ 明朝" w:hAnsi="ＭＳ 明朝"/>
          <w:color w:val="auto"/>
        </w:rPr>
      </w:pPr>
      <w:r>
        <w:rPr>
          <w:rFonts w:hint="eastAsia" w:ascii="ＭＳ 明朝" w:hAnsi="ＭＳ 明朝"/>
          <w:color w:val="auto"/>
        </w:rPr>
        <w:t>なお、要整備森林は地域森林計画において指定されます。</w:t>
      </w:r>
    </w:p>
    <w:p>
      <w:pPr>
        <w:pStyle w:val="0"/>
        <w:ind w:firstLine="210" w:firstLineChars="100"/>
        <w:rPr>
          <w:rFonts w:hint="default" w:ascii="ＭＳ 明朝" w:hAnsi="ＭＳ 明朝"/>
          <w:color w:val="auto"/>
        </w:rPr>
      </w:pPr>
      <w:r>
        <w:rPr>
          <w:rFonts w:hint="eastAsia" w:ascii="ＭＳ 明朝" w:hAnsi="ＭＳ 明朝"/>
          <w:color w:val="auto"/>
        </w:rPr>
        <w:t>（２）　法令等により施業について制限を受けている森林の施業方法</w:t>
      </w:r>
    </w:p>
    <w:p>
      <w:pPr>
        <w:pStyle w:val="0"/>
        <w:ind w:left="840" w:leftChars="400" w:firstLine="210" w:firstLineChars="100"/>
        <w:rPr>
          <w:rFonts w:hint="default" w:ascii="ＭＳ 明朝" w:hAnsi="ＭＳ 明朝"/>
          <w:color w:val="auto"/>
        </w:rPr>
      </w:pPr>
      <w:r>
        <w:rPr>
          <w:rFonts w:hint="eastAsia" w:ascii="ＭＳ 明朝" w:hAnsi="ＭＳ 明朝"/>
          <w:color w:val="auto"/>
        </w:rPr>
        <w:t>制限林については、該当する法令に基づいて施業を行い、制限林が重複して指定されている場合は、制限の強い方の施業方法に基づいて行うこととします。</w:t>
      </w:r>
    </w:p>
    <w:p>
      <w:pPr>
        <w:pStyle w:val="0"/>
        <w:ind w:firstLine="420" w:firstLineChars="200"/>
        <w:rPr>
          <w:rFonts w:hint="default" w:ascii="ＭＳ 明朝" w:hAnsi="ＭＳ 明朝"/>
          <w:color w:val="auto"/>
        </w:rPr>
      </w:pPr>
      <w:r>
        <w:rPr>
          <w:rFonts w:hint="eastAsia" w:ascii="ＭＳ 明朝" w:hAnsi="ＭＳ 明朝"/>
          <w:color w:val="auto"/>
        </w:rPr>
        <w:t>ア　保安林及び保安施設地区の区域内の森林</w:t>
      </w:r>
    </w:p>
    <w:p>
      <w:pPr>
        <w:pStyle w:val="0"/>
        <w:ind w:left="630" w:leftChars="300" w:firstLine="210" w:firstLineChars="100"/>
        <w:rPr>
          <w:rFonts w:hint="default" w:ascii="ＭＳ 明朝" w:hAnsi="ＭＳ 明朝"/>
          <w:color w:val="auto"/>
        </w:rPr>
      </w:pPr>
      <w:r>
        <w:rPr>
          <w:rFonts w:hint="eastAsia" w:ascii="ＭＳ 明朝" w:hAnsi="ＭＳ 明朝"/>
          <w:color w:val="auto"/>
        </w:rPr>
        <w:t>保安林及び保安施設地区の区域内の森林の施業は、森林法により定められた指定施業要件に基づき行うこととし、立木の伐採等を行う場合は許可または届出が必要となります。なお、指定施業要件は個々の保安林ごとに定められていますが、一般的な留意事項は次のとおりです。</w:t>
      </w:r>
    </w:p>
    <w:p>
      <w:pPr>
        <w:pStyle w:val="0"/>
        <w:ind w:firstLine="630" w:firstLineChars="300"/>
        <w:rPr>
          <w:rFonts w:hint="default" w:ascii="ＭＳ 明朝" w:hAnsi="ＭＳ 明朝"/>
          <w:color w:val="auto"/>
        </w:rPr>
      </w:pPr>
      <w:r>
        <w:rPr>
          <w:rFonts w:hint="eastAsia" w:ascii="ＭＳ 明朝" w:hAnsi="ＭＳ 明朝"/>
          <w:color w:val="auto"/>
        </w:rPr>
        <w:t>（ア）　主伐の方法</w:t>
      </w:r>
    </w:p>
    <w:p>
      <w:pPr>
        <w:pStyle w:val="0"/>
        <w:ind w:firstLine="630" w:firstLineChars="300"/>
        <w:rPr>
          <w:rFonts w:hint="default" w:ascii="ＭＳ 明朝" w:hAnsi="ＭＳ 明朝"/>
          <w:color w:val="auto"/>
        </w:rPr>
      </w:pPr>
      <w:r>
        <w:rPr>
          <w:rFonts w:hint="eastAsia" w:ascii="ＭＳ 明朝" w:hAnsi="ＭＳ 明朝"/>
          <w:color w:val="auto"/>
        </w:rPr>
        <w:t>　ａ　伐採できる立木は、更別村森林整備計画で定める標準伐期齢以上のものとします。</w:t>
      </w:r>
    </w:p>
    <w:p>
      <w:pPr>
        <w:pStyle w:val="0"/>
        <w:rPr>
          <w:rFonts w:hint="default" w:ascii="ＭＳ 明朝" w:hAnsi="ＭＳ 明朝"/>
          <w:color w:val="auto"/>
        </w:rPr>
      </w:pPr>
      <w:r>
        <w:rPr>
          <w:rFonts w:hint="eastAsia" w:ascii="ＭＳ 明朝" w:hAnsi="ＭＳ 明朝"/>
          <w:color w:val="auto"/>
        </w:rPr>
        <w:t>　　　　ｂ　伐採方法は、次の３区分とします。</w:t>
      </w:r>
    </w:p>
    <w:p>
      <w:pPr>
        <w:pStyle w:val="0"/>
        <w:rPr>
          <w:rFonts w:hint="default" w:ascii="ＭＳ 明朝" w:hAnsi="ＭＳ 明朝"/>
          <w:color w:val="auto"/>
        </w:rPr>
      </w:pPr>
      <w:r>
        <w:rPr>
          <w:rFonts w:hint="eastAsia" w:ascii="ＭＳ 明朝" w:hAnsi="ＭＳ 明朝"/>
          <w:color w:val="auto"/>
        </w:rPr>
        <w:t>　　　　　（ａ）伐採方法の指定なし</w:t>
      </w:r>
      <w:r>
        <w:rPr>
          <w:rFonts w:hint="eastAsia" w:ascii="ＭＳ 明朝" w:hAnsi="ＭＳ 明朝"/>
          <w:color w:val="auto"/>
        </w:rPr>
        <w:t>(</w:t>
      </w:r>
      <w:r>
        <w:rPr>
          <w:rFonts w:hint="eastAsia" w:ascii="ＭＳ 明朝" w:hAnsi="ＭＳ 明朝"/>
          <w:color w:val="auto"/>
        </w:rPr>
        <w:t>皆伐を含む</w:t>
      </w:r>
      <w:r>
        <w:rPr>
          <w:rFonts w:hint="eastAsia" w:ascii="ＭＳ 明朝" w:hAnsi="ＭＳ 明朝"/>
          <w:color w:val="auto"/>
        </w:rPr>
        <w:t>)</w:t>
      </w:r>
    </w:p>
    <w:p>
      <w:pPr>
        <w:pStyle w:val="0"/>
        <w:rPr>
          <w:rFonts w:hint="default" w:ascii="ＭＳ 明朝" w:hAnsi="ＭＳ 明朝"/>
          <w:color w:val="auto"/>
        </w:rPr>
      </w:pPr>
      <w:r>
        <w:rPr>
          <w:rFonts w:hint="eastAsia" w:ascii="ＭＳ 明朝" w:hAnsi="ＭＳ 明朝"/>
          <w:color w:val="auto"/>
        </w:rPr>
        <w:t>　　　　　（ｂ）択伐（伐採区域内の立木を均等な割合で伐採するもの）</w:t>
      </w:r>
    </w:p>
    <w:p>
      <w:pPr>
        <w:pStyle w:val="0"/>
        <w:rPr>
          <w:rFonts w:hint="default" w:ascii="ＭＳ 明朝" w:hAnsi="ＭＳ 明朝"/>
          <w:color w:val="auto"/>
        </w:rPr>
      </w:pPr>
      <w:r>
        <w:rPr>
          <w:rFonts w:hint="eastAsia" w:ascii="ＭＳ 明朝" w:hAnsi="ＭＳ 明朝"/>
          <w:color w:val="auto"/>
        </w:rPr>
        <w:t>　　　　　（ｃ）禁伐（全ての立木の伐採を禁止するもの）</w:t>
      </w:r>
    </w:p>
    <w:p>
      <w:pPr>
        <w:pStyle w:val="0"/>
        <w:ind w:firstLine="630" w:firstLineChars="300"/>
        <w:rPr>
          <w:rFonts w:hint="default" w:ascii="ＭＳ 明朝" w:hAnsi="ＭＳ 明朝"/>
          <w:color w:val="auto"/>
        </w:rPr>
      </w:pPr>
      <w:r>
        <w:rPr>
          <w:rFonts w:hint="eastAsia" w:ascii="ＭＳ 明朝" w:hAnsi="ＭＳ 明朝"/>
          <w:color w:val="auto"/>
        </w:rPr>
        <w:t>（イ）　伐採の限度</w:t>
      </w:r>
    </w:p>
    <w:p>
      <w:pPr>
        <w:pStyle w:val="0"/>
        <w:ind w:left="1050" w:leftChars="300" w:hanging="420" w:hangingChars="200"/>
        <w:rPr>
          <w:rFonts w:hint="default" w:ascii="ＭＳ 明朝" w:hAnsi="ＭＳ 明朝"/>
          <w:color w:val="auto"/>
        </w:rPr>
      </w:pPr>
      <w:r>
        <w:rPr>
          <w:rFonts w:hint="eastAsia" w:ascii="ＭＳ 明朝" w:hAnsi="ＭＳ 明朝"/>
          <w:color w:val="auto"/>
        </w:rPr>
        <w:t>　ａ　皆伐面積の限度は、森林法施行令第４条の２第３項の規定に基づき公表される面積の範囲内とします。</w:t>
      </w:r>
    </w:p>
    <w:p>
      <w:pPr>
        <w:pStyle w:val="0"/>
        <w:ind w:firstLine="840" w:firstLineChars="400"/>
        <w:rPr>
          <w:rFonts w:hint="default" w:ascii="ＭＳ 明朝" w:hAnsi="ＭＳ 明朝"/>
          <w:color w:val="auto"/>
        </w:rPr>
      </w:pPr>
      <w:r>
        <w:rPr>
          <w:rFonts w:hint="eastAsia" w:ascii="ＭＳ 明朝" w:hAnsi="ＭＳ 明朝"/>
          <w:color w:val="auto"/>
        </w:rPr>
        <w:t>ｂ　一箇所あたりの皆伐面積の限度は、次のとおり指定施業要件に定められています。</w:t>
      </w:r>
    </w:p>
    <w:p>
      <w:pPr>
        <w:pStyle w:val="0"/>
        <w:ind w:left="1260" w:hanging="1260" w:hangingChars="600"/>
        <w:rPr>
          <w:rFonts w:hint="default" w:ascii="ＭＳ 明朝" w:hAnsi="ＭＳ 明朝"/>
          <w:color w:val="auto"/>
        </w:rPr>
      </w:pPr>
      <w:r>
        <w:rPr>
          <w:rFonts w:hint="eastAsia" w:ascii="ＭＳ 明朝" w:hAnsi="ＭＳ 明朝"/>
          <w:color w:val="auto"/>
        </w:rPr>
        <w:t>　　　　　（ａ）　水源</w:t>
      </w:r>
      <w:r>
        <w:rPr>
          <w:rFonts w:hint="eastAsia" w:ascii="ＭＳ 明朝" w:hAnsi="ＭＳ 明朝"/>
          <w:color w:val="000000" w:themeColor="text1"/>
          <w:u w:val="none" w:color="auto"/>
        </w:rPr>
        <w:t>かん</w:t>
      </w:r>
      <w:r>
        <w:rPr>
          <w:rFonts w:hint="eastAsia" w:ascii="ＭＳ 明朝" w:hAnsi="ＭＳ 明朝"/>
          <w:color w:val="auto"/>
        </w:rPr>
        <w:t>養保安林（ただし、急傾斜地の森林及び保安施設事業の施行地等の森林その他森林施業上これと同一の取扱いをすることが適当と認められる森林に限る）については、２０</w:t>
      </w:r>
      <w:r>
        <w:rPr>
          <w:rFonts w:hint="eastAsia" w:ascii="ＭＳ 明朝" w:hAnsi="ＭＳ 明朝"/>
          <w:color w:val="auto"/>
        </w:rPr>
        <w:t>ha</w:t>
      </w:r>
      <w:r>
        <w:rPr>
          <w:rFonts w:hint="eastAsia" w:ascii="ＭＳ 明朝" w:hAnsi="ＭＳ 明朝"/>
          <w:color w:val="auto"/>
        </w:rPr>
        <w:t>を越えないこととします。</w:t>
      </w:r>
    </w:p>
    <w:p>
      <w:pPr>
        <w:pStyle w:val="0"/>
        <w:ind w:left="1260" w:leftChars="500" w:hanging="210" w:hangingChars="100"/>
        <w:rPr>
          <w:rFonts w:hint="default" w:ascii="ＭＳ 明朝" w:hAnsi="ＭＳ 明朝"/>
          <w:color w:val="auto"/>
        </w:rPr>
      </w:pPr>
      <w:r>
        <w:rPr>
          <w:rFonts w:hint="eastAsia" w:ascii="ＭＳ 明朝" w:hAnsi="ＭＳ 明朝"/>
          <w:color w:val="auto"/>
        </w:rPr>
        <w:t>（ｂ）　土砂流出防備、飛砂防備、干害防備及び保健の各保安林については、１０</w:t>
      </w:r>
      <w:r>
        <w:rPr>
          <w:rFonts w:hint="eastAsia" w:ascii="ＭＳ 明朝" w:hAnsi="ＭＳ 明朝"/>
          <w:color w:val="auto"/>
        </w:rPr>
        <w:t>ha</w:t>
      </w:r>
      <w:r>
        <w:rPr>
          <w:rFonts w:hint="eastAsia" w:ascii="ＭＳ 明朝" w:hAnsi="ＭＳ 明朝"/>
          <w:color w:val="auto"/>
        </w:rPr>
        <w:t>以下とします。</w:t>
      </w:r>
    </w:p>
    <w:p>
      <w:pPr>
        <w:pStyle w:val="0"/>
        <w:ind w:left="1260" w:leftChars="500" w:hanging="210" w:hangingChars="100"/>
        <w:rPr>
          <w:rFonts w:hint="default" w:ascii="ＭＳ 明朝" w:hAnsi="ＭＳ 明朝"/>
          <w:color w:val="auto"/>
        </w:rPr>
      </w:pPr>
      <w:r>
        <w:rPr>
          <w:rFonts w:hint="eastAsia" w:ascii="ＭＳ 明朝" w:hAnsi="ＭＳ 明朝"/>
          <w:color w:val="auto"/>
        </w:rPr>
        <w:t>（ｃ）　その他の保安林であって、当該森林の地形、気象、土壌等の状況を勘案し、特に保安機能の維持または強化を図る必要があるものについては２０</w:t>
      </w:r>
      <w:r>
        <w:rPr>
          <w:rFonts w:hint="eastAsia" w:ascii="ＭＳ 明朝" w:hAnsi="ＭＳ 明朝"/>
          <w:color w:val="auto"/>
        </w:rPr>
        <w:t>ha</w:t>
      </w:r>
      <w:r>
        <w:rPr>
          <w:rFonts w:hint="eastAsia" w:ascii="ＭＳ 明朝" w:hAnsi="ＭＳ 明朝"/>
          <w:color w:val="auto"/>
        </w:rPr>
        <w:t>を越えないこととします。</w:t>
      </w:r>
    </w:p>
    <w:p>
      <w:pPr>
        <w:pStyle w:val="0"/>
        <w:ind w:left="1050" w:leftChars="400" w:hanging="210" w:hangingChars="100"/>
        <w:rPr>
          <w:rFonts w:hint="default" w:ascii="ＭＳ 明朝" w:hAnsi="ＭＳ 明朝"/>
          <w:color w:val="auto"/>
        </w:rPr>
      </w:pPr>
      <w:r>
        <w:rPr>
          <w:rFonts w:hint="eastAsia" w:ascii="ＭＳ 明朝" w:hAnsi="ＭＳ 明朝"/>
          <w:color w:val="auto"/>
        </w:rPr>
        <w:t>ｃ　防風、防霧保安林については、標準伐期齢以上である部分を幅２０</w:t>
      </w:r>
      <w:r>
        <w:rPr>
          <w:rFonts w:hint="eastAsia" w:ascii="ＭＳ 明朝" w:hAnsi="ＭＳ 明朝"/>
          <w:color w:val="auto"/>
        </w:rPr>
        <w:t>m</w:t>
      </w:r>
      <w:r>
        <w:rPr>
          <w:rFonts w:hint="eastAsia" w:ascii="ＭＳ 明朝" w:hAnsi="ＭＳ 明朝"/>
          <w:color w:val="auto"/>
        </w:rPr>
        <w:t>以上にわたり帯状に残存させなければなりません。</w:t>
      </w:r>
    </w:p>
    <w:p>
      <w:pPr>
        <w:pStyle w:val="0"/>
        <w:ind w:left="1050" w:leftChars="300" w:hanging="420" w:hangingChars="200"/>
        <w:rPr>
          <w:rFonts w:hint="default" w:ascii="ＭＳ 明朝" w:hAnsi="ＭＳ 明朝"/>
          <w:color w:val="auto"/>
        </w:rPr>
      </w:pPr>
      <w:r>
        <w:rPr>
          <w:rFonts w:hint="eastAsia" w:ascii="ＭＳ 明朝" w:hAnsi="ＭＳ 明朝"/>
          <w:color w:val="auto"/>
        </w:rPr>
        <w:t>　ｄ　択伐の限度は、当該森林の立木材積に択伐率を乗じて得られる材積を超えないこととします。</w:t>
      </w:r>
    </w:p>
    <w:p>
      <w:pPr>
        <w:pStyle w:val="0"/>
        <w:ind w:left="1050" w:hanging="1050" w:hangingChars="500"/>
        <w:rPr>
          <w:rFonts w:hint="default" w:ascii="ＭＳ 明朝" w:hAnsi="ＭＳ 明朝"/>
          <w:color w:val="auto"/>
        </w:rPr>
      </w:pPr>
      <w:r>
        <w:rPr>
          <w:rFonts w:hint="eastAsia" w:ascii="ＭＳ 明朝" w:hAnsi="ＭＳ 明朝"/>
          <w:color w:val="auto"/>
        </w:rPr>
        <w:t>　　　　ｅ　初回の択伐率は、指定施業要件に定められている率とします。また、２回目以降の択伐率は、伐採しようとする当該森林の立木の材積から前回の択伐直後の当該森林の立木の材積を減じて得た材積を伐採しようとする当該森林の材積で除して算出し、この率が１０分の３を超えるときは１０分の３（指定施業要件で定められた条件を満たす場合には１０分の４）とします。</w:t>
      </w:r>
    </w:p>
    <w:p>
      <w:pPr>
        <w:pStyle w:val="0"/>
        <w:ind w:firstLine="630" w:firstLineChars="300"/>
        <w:rPr>
          <w:rFonts w:hint="default" w:ascii="ＭＳ 明朝" w:hAnsi="ＭＳ 明朝"/>
          <w:color w:val="auto"/>
        </w:rPr>
      </w:pPr>
      <w:r>
        <w:rPr>
          <w:rFonts w:hint="eastAsia" w:ascii="ＭＳ 明朝" w:hAnsi="ＭＳ 明朝"/>
          <w:color w:val="auto"/>
        </w:rPr>
        <w:t>（ウ）　特例</w:t>
      </w:r>
    </w:p>
    <w:p>
      <w:pPr>
        <w:pStyle w:val="0"/>
        <w:ind w:left="1050" w:hanging="1050" w:hangingChars="500"/>
        <w:rPr>
          <w:rFonts w:hint="default" w:ascii="ＭＳ 明朝" w:hAnsi="ＭＳ 明朝"/>
          <w:color w:val="auto"/>
        </w:rPr>
      </w:pPr>
      <w:r>
        <w:rPr>
          <w:rFonts w:hint="eastAsia" w:ascii="ＭＳ 明朝" w:hAnsi="ＭＳ 明朝"/>
          <w:color w:val="auto"/>
        </w:rPr>
        <w:t>　　　　ａ　伐期齢の特例の認められている保安林は、標準伐期齢に達していなくても伐採することができます。</w:t>
      </w:r>
    </w:p>
    <w:p>
      <w:pPr>
        <w:pStyle w:val="0"/>
        <w:ind w:left="1050" w:hanging="1050" w:hangingChars="500"/>
        <w:rPr>
          <w:rFonts w:hint="default" w:ascii="ＭＳ 明朝" w:hAnsi="ＭＳ 明朝"/>
          <w:color w:val="auto"/>
        </w:rPr>
      </w:pPr>
      <w:r>
        <w:rPr>
          <w:rFonts w:hint="eastAsia" w:ascii="ＭＳ 明朝" w:hAnsi="ＭＳ 明朝"/>
          <w:color w:val="auto"/>
        </w:rPr>
        <w:t>　　　　ｂ　伐採方法についての特例は、択伐と定められている森林にあっては伐採指定なし、同じく禁伐と定められている森林については択伐とします。</w:t>
      </w:r>
    </w:p>
    <w:p>
      <w:pPr>
        <w:pStyle w:val="0"/>
        <w:rPr>
          <w:rFonts w:hint="default" w:ascii="ＭＳ 明朝" w:hAnsi="ＭＳ 明朝"/>
          <w:color w:val="auto"/>
        </w:rPr>
      </w:pPr>
      <w:r>
        <w:rPr>
          <w:rFonts w:hint="eastAsia" w:ascii="ＭＳ 明朝" w:hAnsi="ＭＳ 明朝"/>
          <w:color w:val="auto"/>
        </w:rPr>
        <w:t>　　　　ｃ　特例の有効期限は、当該特例の指定日から１０年以内とします。</w:t>
      </w:r>
    </w:p>
    <w:p>
      <w:pPr>
        <w:pStyle w:val="0"/>
        <w:ind w:firstLine="630" w:firstLineChars="300"/>
        <w:rPr>
          <w:rFonts w:hint="default" w:ascii="ＭＳ 明朝" w:hAnsi="ＭＳ 明朝"/>
          <w:color w:val="auto"/>
        </w:rPr>
      </w:pPr>
      <w:r>
        <w:rPr>
          <w:rFonts w:hint="eastAsia" w:ascii="ＭＳ 明朝" w:hAnsi="ＭＳ 明朝"/>
          <w:color w:val="auto"/>
        </w:rPr>
        <w:t>（エ）　間伐の方法及び限度</w:t>
      </w:r>
    </w:p>
    <w:p>
      <w:pPr>
        <w:pStyle w:val="0"/>
        <w:rPr>
          <w:rFonts w:hint="default" w:ascii="ＭＳ 明朝" w:hAnsi="ＭＳ 明朝"/>
          <w:color w:val="auto"/>
        </w:rPr>
      </w:pPr>
      <w:r>
        <w:rPr>
          <w:rFonts w:hint="eastAsia" w:ascii="ＭＳ 明朝" w:hAnsi="ＭＳ 明朝"/>
          <w:color w:val="auto"/>
        </w:rPr>
        <w:t>　　　　ａ　間伐をすることができる箇所は原則として樹冠疎密度が１０分の８以上の箇所とします。</w:t>
      </w:r>
    </w:p>
    <w:p>
      <w:pPr>
        <w:pStyle w:val="0"/>
        <w:ind w:left="1050" w:hanging="1050" w:hangingChars="500"/>
        <w:rPr>
          <w:rFonts w:hint="default" w:ascii="ＭＳ 明朝" w:hAnsi="ＭＳ 明朝"/>
          <w:color w:val="auto"/>
        </w:rPr>
      </w:pPr>
      <w:r>
        <w:rPr>
          <w:rFonts w:hint="eastAsia" w:ascii="ＭＳ 明朝" w:hAnsi="ＭＳ 明朝"/>
          <w:color w:val="auto"/>
        </w:rPr>
        <w:t>　　　　ｂ　間伐の限度は、当該森林の立木材積の１００分の３５を超えない範囲で、指定施業要件に定められた率とします。</w:t>
      </w:r>
    </w:p>
    <w:p>
      <w:pPr>
        <w:pStyle w:val="0"/>
        <w:tabs>
          <w:tab w:val="left" w:leader="none" w:pos="1134"/>
        </w:tabs>
        <w:ind w:firstLine="630" w:firstLineChars="300"/>
        <w:rPr>
          <w:rFonts w:hint="default" w:ascii="ＭＳ 明朝" w:hAnsi="ＭＳ 明朝"/>
          <w:color w:val="auto"/>
        </w:rPr>
      </w:pPr>
      <w:r>
        <w:rPr>
          <w:rFonts w:hint="eastAsia" w:ascii="ＭＳ 明朝" w:hAnsi="ＭＳ 明朝"/>
          <w:color w:val="auto"/>
        </w:rPr>
        <w:t>（オ）　植栽の方法及び期間</w:t>
      </w:r>
    </w:p>
    <w:p>
      <w:pPr>
        <w:pStyle w:val="0"/>
        <w:ind w:left="1050" w:hanging="1050" w:hangingChars="500"/>
        <w:rPr>
          <w:rFonts w:hint="default" w:ascii="ＭＳ 明朝" w:hAnsi="ＭＳ 明朝"/>
          <w:color w:val="auto"/>
        </w:rPr>
      </w:pPr>
      <w:r>
        <w:rPr>
          <w:rFonts w:hint="eastAsia" w:ascii="ＭＳ 明朝" w:hAnsi="ＭＳ 明朝"/>
          <w:color w:val="auto"/>
        </w:rPr>
        <w:t>　　　　ａ　伐採跡地への植栽は、当該箇所に指定施業要件として定められた樹種及び本数を均等に分布するように行わなければなりません。</w:t>
      </w:r>
    </w:p>
    <w:p>
      <w:pPr>
        <w:pStyle w:val="0"/>
        <w:rPr>
          <w:rFonts w:hint="default" w:ascii="ＭＳ 明朝" w:hAnsi="ＭＳ 明朝"/>
          <w:color w:val="auto"/>
        </w:rPr>
      </w:pPr>
      <w:r>
        <w:rPr>
          <w:rFonts w:hint="eastAsia" w:ascii="ＭＳ 明朝" w:hAnsi="ＭＳ 明朝"/>
          <w:color w:val="auto"/>
        </w:rPr>
        <w:t>　　　　ｂ　植栽は、伐採が終了した年度の翌年度の初日から起算して２年以内に行わなければなりません。</w:t>
      </w:r>
    </w:p>
    <w:p>
      <w:pPr>
        <w:pStyle w:val="0"/>
        <w:rPr>
          <w:rFonts w:hint="default" w:ascii="ＭＳ 明朝" w:hAnsi="ＭＳ 明朝"/>
          <w:color w:val="auto"/>
        </w:rPr>
      </w:pPr>
      <w:r>
        <w:rPr>
          <w:rFonts w:hint="eastAsia" w:ascii="ＭＳ 明朝" w:hAnsi="ＭＳ 明朝"/>
          <w:color w:val="auto"/>
        </w:rPr>
        <w:t>　　イ　自然公園特別地域内における森林</w:t>
      </w:r>
    </w:p>
    <w:p>
      <w:pPr>
        <w:pStyle w:val="0"/>
        <w:rPr>
          <w:rFonts w:hint="default" w:ascii="ＭＳ 明朝" w:hAnsi="ＭＳ 明朝"/>
          <w:color w:val="auto"/>
        </w:rPr>
      </w:pPr>
      <w:r>
        <w:rPr>
          <w:rFonts w:hint="eastAsia" w:ascii="ＭＳ 明朝" w:hAnsi="ＭＳ 明朝"/>
          <w:color w:val="auto"/>
        </w:rPr>
        <w:t>　　　　自然公園特別地域内における森林の施業方法の決定は表１により行います。</w:t>
      </w:r>
    </w:p>
    <w:p>
      <w:pPr>
        <w:pStyle w:val="0"/>
        <w:ind w:left="630" w:hanging="630" w:hangingChars="300"/>
        <w:rPr>
          <w:rFonts w:hint="default" w:ascii="ＭＳ 明朝" w:hAnsi="ＭＳ 明朝"/>
          <w:color w:val="auto"/>
        </w:rPr>
      </w:pPr>
      <w:r>
        <w:rPr>
          <w:rFonts w:hint="eastAsia" w:ascii="ＭＳ 明朝" w:hAnsi="ＭＳ 明朝"/>
          <w:color w:val="auto"/>
        </w:rPr>
        <w:t>　　　　なお、立木の伐採等を行う場合は、国立公園及び国定公園にあっては自然公園法の規定による許可が、道立自然公園にあっては北海道立自然公園条例の規定による許可が必要です。</w:t>
      </w:r>
    </w:p>
    <w:p>
      <w:pPr>
        <w:pStyle w:val="0"/>
        <w:ind w:left="210" w:firstLine="630" w:firstLineChars="300"/>
        <w:rPr>
          <w:rFonts w:hint="default" w:ascii="ＭＳ 明朝" w:hAnsi="ＭＳ 明朝"/>
          <w:color w:val="auto"/>
        </w:rPr>
      </w:pPr>
    </w:p>
    <w:p>
      <w:pPr>
        <w:pStyle w:val="0"/>
        <w:rPr>
          <w:rFonts w:hint="default" w:ascii="ＭＳ 明朝" w:hAnsi="ＭＳ 明朝"/>
          <w:color w:val="auto"/>
        </w:rPr>
      </w:pPr>
      <w:r>
        <w:rPr>
          <w:rFonts w:hint="eastAsia"/>
          <w:color w:val="auto"/>
        </w:rPr>
        <w:br w:type="page"/>
      </w:r>
    </w:p>
    <w:p>
      <w:pPr>
        <w:pStyle w:val="0"/>
        <w:rPr>
          <w:rFonts w:hint="default" w:ascii="ＭＳ 明朝" w:hAnsi="ＭＳ 明朝"/>
          <w:color w:val="auto"/>
        </w:rPr>
      </w:pPr>
      <w:r>
        <w:rPr>
          <w:rFonts w:hint="eastAsia" w:ascii="ＭＳ 明朝" w:hAnsi="ＭＳ 明朝"/>
          <w:color w:val="auto"/>
        </w:rPr>
        <w:t>【表１　特別地域内における制限】</w:t>
      </w:r>
    </w:p>
    <w:p>
      <w:pPr>
        <w:pStyle w:val="0"/>
        <w:rPr>
          <w:rFonts w:hint="default" w:ascii="ＭＳ 明朝" w:hAnsi="ＭＳ 明朝"/>
          <w:color w:val="auto"/>
        </w:rPr>
      </w:pPr>
    </w:p>
    <w:tbl>
      <w:tblPr>
        <w:tblStyle w:val="11"/>
        <w:tblW w:w="9015"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5"/>
        <w:gridCol w:w="6780"/>
      </w:tblGrid>
      <w:tr>
        <w:trPr>
          <w:trHeight w:val="420" w:hRule="atLeast"/>
        </w:trPr>
        <w:tc>
          <w:tcPr>
            <w:tcW w:w="2235" w:type="dxa"/>
            <w:vAlign w:val="center"/>
          </w:tcPr>
          <w:p>
            <w:pPr>
              <w:pStyle w:val="0"/>
              <w:jc w:val="center"/>
              <w:rPr>
                <w:rFonts w:hint="default" w:ascii="ＭＳ 明朝" w:hAnsi="ＭＳ 明朝"/>
                <w:color w:val="auto"/>
              </w:rPr>
            </w:pPr>
            <w:r>
              <w:rPr>
                <w:rFonts w:hint="eastAsia" w:ascii="ＭＳ 明朝" w:hAnsi="ＭＳ 明朝"/>
                <w:color w:val="auto"/>
              </w:rPr>
              <w:t>区分</w:t>
            </w:r>
          </w:p>
        </w:tc>
        <w:tc>
          <w:tcPr>
            <w:tcW w:w="6780" w:type="dxa"/>
            <w:vAlign w:val="center"/>
          </w:tcPr>
          <w:p>
            <w:pPr>
              <w:pStyle w:val="0"/>
              <w:jc w:val="center"/>
              <w:rPr>
                <w:rFonts w:hint="default" w:ascii="ＭＳ 明朝" w:hAnsi="ＭＳ 明朝"/>
                <w:color w:val="auto"/>
              </w:rPr>
            </w:pPr>
            <w:r>
              <w:rPr>
                <w:rFonts w:hint="eastAsia" w:ascii="ＭＳ 明朝" w:hAnsi="ＭＳ 明朝"/>
                <w:color w:val="auto"/>
              </w:rPr>
              <w:t>制限内容</w:t>
            </w:r>
          </w:p>
        </w:tc>
      </w:tr>
      <w:tr>
        <w:trPr>
          <w:trHeight w:val="102" w:hRule="atLeast"/>
        </w:trPr>
        <w:tc>
          <w:tcPr>
            <w:tcW w:w="2235" w:type="dxa"/>
            <w:vAlign w:val="center"/>
          </w:tcPr>
          <w:p>
            <w:pPr>
              <w:pStyle w:val="0"/>
              <w:jc w:val="center"/>
              <w:rPr>
                <w:rFonts w:hint="default" w:ascii="ＭＳ 明朝" w:hAnsi="ＭＳ 明朝"/>
                <w:color w:val="auto"/>
              </w:rPr>
            </w:pPr>
            <w:r>
              <w:rPr>
                <w:rFonts w:hint="eastAsia" w:ascii="ＭＳ 明朝" w:hAnsi="ＭＳ 明朝"/>
                <w:color w:val="auto"/>
              </w:rPr>
              <w:t>特別保護地区</w:t>
            </w:r>
          </w:p>
        </w:tc>
        <w:tc>
          <w:tcPr>
            <w:tcW w:w="6780" w:type="dxa"/>
            <w:vAlign w:val="center"/>
          </w:tcPr>
          <w:p>
            <w:pPr>
              <w:pStyle w:val="0"/>
              <w:ind w:firstLine="210" w:firstLineChars="100"/>
              <w:rPr>
                <w:rFonts w:hint="default" w:ascii="ＭＳ 明朝" w:hAnsi="ＭＳ 明朝"/>
                <w:color w:val="auto"/>
              </w:rPr>
            </w:pPr>
            <w:r>
              <w:rPr>
                <w:rFonts w:hint="eastAsia" w:ascii="ＭＳ 明朝" w:hAnsi="ＭＳ 明朝"/>
                <w:color w:val="auto"/>
              </w:rPr>
              <w:t>特別保護地区内の森林は、禁伐とします。</w:t>
            </w:r>
          </w:p>
        </w:tc>
      </w:tr>
      <w:tr>
        <w:trPr>
          <w:trHeight w:val="1823" w:hRule="atLeast"/>
        </w:trPr>
        <w:tc>
          <w:tcPr>
            <w:tcW w:w="2235" w:type="dxa"/>
            <w:vAlign w:val="center"/>
          </w:tcPr>
          <w:p>
            <w:pPr>
              <w:pStyle w:val="0"/>
              <w:jc w:val="center"/>
              <w:rPr>
                <w:rFonts w:hint="default" w:ascii="ＭＳ 明朝" w:hAnsi="ＭＳ 明朝"/>
                <w:color w:val="auto"/>
              </w:rPr>
            </w:pPr>
            <w:r>
              <w:rPr>
                <w:rFonts w:hint="eastAsia" w:ascii="ＭＳ 明朝" w:hAnsi="ＭＳ 明朝"/>
                <w:color w:val="auto"/>
              </w:rPr>
              <w:t>第１種特別地域</w:t>
            </w: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tc>
        <w:tc>
          <w:tcPr>
            <w:tcW w:w="6780" w:type="dxa"/>
            <w:vAlign w:val="center"/>
          </w:tcPr>
          <w:p>
            <w:pPr>
              <w:pStyle w:val="0"/>
              <w:snapToGrid w:val="0"/>
              <w:rPr>
                <w:rFonts w:hint="default" w:ascii="ＭＳ 明朝" w:hAnsi="ＭＳ 明朝"/>
                <w:color w:val="auto"/>
              </w:rPr>
            </w:pPr>
            <w:r>
              <w:rPr>
                <w:rFonts w:hint="eastAsia" w:ascii="ＭＳ 明朝" w:hAnsi="ＭＳ 明朝"/>
                <w:color w:val="auto"/>
              </w:rPr>
              <w:t>（１）　第１種特別地域内の森林は、禁伐とします。</w:t>
            </w:r>
          </w:p>
          <w:p>
            <w:pPr>
              <w:pStyle w:val="0"/>
              <w:snapToGrid w:val="0"/>
              <w:ind w:left="0" w:leftChars="-300" w:hanging="630" w:hangingChars="300"/>
              <w:rPr>
                <w:rFonts w:hint="default" w:ascii="ＭＳ 明朝" w:hAnsi="ＭＳ 明朝"/>
                <w:color w:val="auto"/>
              </w:rPr>
            </w:pPr>
            <w:r>
              <w:rPr>
                <w:rFonts w:hint="eastAsia" w:ascii="ＭＳ 明朝" w:hAnsi="ＭＳ 明朝"/>
                <w:color w:val="auto"/>
              </w:rPr>
              <w:t>　　　　　　　ただし、風致の維持に支障のない場合に限り単木択伐法を行</w:t>
            </w:r>
          </w:p>
          <w:p>
            <w:pPr>
              <w:pStyle w:val="0"/>
              <w:snapToGrid w:val="0"/>
              <w:ind w:left="-1260" w:leftChars="-600" w:firstLine="1890" w:firstLineChars="900"/>
              <w:rPr>
                <w:rFonts w:hint="default" w:ascii="ＭＳ 明朝" w:hAnsi="ＭＳ 明朝"/>
                <w:color w:val="auto"/>
              </w:rPr>
            </w:pPr>
            <w:r>
              <w:rPr>
                <w:rFonts w:hint="eastAsia" w:ascii="ＭＳ 明朝" w:hAnsi="ＭＳ 明朝"/>
                <w:color w:val="auto"/>
              </w:rPr>
              <w:t>うことができます。</w:t>
            </w:r>
          </w:p>
          <w:p>
            <w:pPr>
              <w:pStyle w:val="0"/>
              <w:snapToGrid w:val="0"/>
              <w:rPr>
                <w:rFonts w:hint="default" w:ascii="ＭＳ 明朝" w:hAnsi="ＭＳ 明朝"/>
                <w:color w:val="auto"/>
              </w:rPr>
            </w:pPr>
            <w:r>
              <w:rPr>
                <w:rFonts w:hint="eastAsia" w:ascii="ＭＳ 明朝" w:hAnsi="ＭＳ 明朝"/>
                <w:color w:val="auto"/>
              </w:rPr>
              <w:t>（２）　単木択伐法は、次の規定により行います。</w:t>
            </w:r>
          </w:p>
          <w:p>
            <w:pPr>
              <w:pStyle w:val="0"/>
              <w:snapToGrid w:val="0"/>
              <w:ind w:left="210" w:hanging="210" w:hangingChars="100"/>
              <w:rPr>
                <w:rFonts w:hint="default" w:ascii="ＭＳ 明朝" w:hAnsi="ＭＳ 明朝"/>
                <w:color w:val="auto"/>
              </w:rPr>
            </w:pPr>
            <w:r>
              <w:rPr>
                <w:rFonts w:hint="eastAsia" w:ascii="ＭＳ 明朝" w:hAnsi="ＭＳ 明朝"/>
                <w:color w:val="auto"/>
              </w:rPr>
              <w:t>　①　伐期齢は、標準伐期齢に見合う年齢に１０年以上を加えて決定</w:t>
            </w:r>
          </w:p>
          <w:p>
            <w:pPr>
              <w:pStyle w:val="0"/>
              <w:snapToGrid w:val="0"/>
              <w:ind w:left="210" w:firstLine="210" w:firstLineChars="100"/>
              <w:rPr>
                <w:rFonts w:hint="default" w:ascii="ＭＳ 明朝" w:hAnsi="ＭＳ 明朝"/>
                <w:color w:val="auto"/>
              </w:rPr>
            </w:pPr>
            <w:r>
              <w:rPr>
                <w:rFonts w:hint="eastAsia" w:ascii="ＭＳ 明朝" w:hAnsi="ＭＳ 明朝"/>
                <w:color w:val="auto"/>
              </w:rPr>
              <w:t>します。</w:t>
            </w:r>
          </w:p>
          <w:p>
            <w:pPr>
              <w:pStyle w:val="0"/>
              <w:snapToGrid w:val="0"/>
              <w:rPr>
                <w:rFonts w:hint="default" w:ascii="ＭＳ 明朝" w:hAnsi="ＭＳ 明朝"/>
                <w:color w:val="auto"/>
              </w:rPr>
            </w:pPr>
            <w:r>
              <w:rPr>
                <w:rFonts w:hint="eastAsia" w:ascii="ＭＳ 明朝" w:hAnsi="ＭＳ 明朝"/>
                <w:color w:val="auto"/>
              </w:rPr>
              <w:t>　②　択伐率は蓄積の１０％以内とします。</w:t>
            </w:r>
          </w:p>
        </w:tc>
      </w:tr>
      <w:tr>
        <w:trPr>
          <w:trHeight w:val="5169" w:hRule="atLeast"/>
        </w:trPr>
        <w:tc>
          <w:tcPr>
            <w:tcW w:w="2235" w:type="dxa"/>
            <w:vAlign w:val="center"/>
          </w:tcPr>
          <w:p>
            <w:pPr>
              <w:pStyle w:val="0"/>
              <w:jc w:val="center"/>
              <w:rPr>
                <w:rFonts w:hint="default" w:ascii="ＭＳ 明朝" w:hAnsi="ＭＳ 明朝"/>
                <w:color w:val="auto"/>
              </w:rPr>
            </w:pPr>
            <w:r>
              <w:rPr>
                <w:rFonts w:hint="eastAsia" w:ascii="ＭＳ 明朝" w:hAnsi="ＭＳ 明朝"/>
                <w:color w:val="auto"/>
              </w:rPr>
              <w:t>第２種特別地域</w:t>
            </w: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tc>
        <w:tc>
          <w:tcPr>
            <w:tcW w:w="6780" w:type="dxa"/>
            <w:vAlign w:val="center"/>
          </w:tcPr>
          <w:p>
            <w:pPr>
              <w:pStyle w:val="0"/>
              <w:snapToGrid w:val="0"/>
              <w:rPr>
                <w:rFonts w:hint="default" w:ascii="ＭＳ 明朝" w:hAnsi="ＭＳ 明朝"/>
                <w:color w:val="auto"/>
              </w:rPr>
            </w:pPr>
            <w:r>
              <w:rPr>
                <w:rFonts w:hint="eastAsia" w:ascii="ＭＳ 明朝" w:hAnsi="ＭＳ 明朝"/>
                <w:color w:val="auto"/>
              </w:rPr>
              <w:t>（１）　第２種特別地域内の森林は、択伐法とします。</w:t>
            </w:r>
          </w:p>
          <w:p>
            <w:pPr>
              <w:pStyle w:val="0"/>
              <w:snapToGrid w:val="0"/>
              <w:rPr>
                <w:rFonts w:hint="default" w:ascii="ＭＳ 明朝" w:hAnsi="ＭＳ 明朝"/>
                <w:color w:val="auto"/>
              </w:rPr>
            </w:pPr>
            <w:r>
              <w:rPr>
                <w:rFonts w:hint="eastAsia" w:ascii="ＭＳ 明朝" w:hAnsi="ＭＳ 明朝"/>
                <w:color w:val="auto"/>
              </w:rPr>
              <w:t>　　　　ただし、風致の維持に支障のない場合に限り皆伐法によるこ</w:t>
            </w:r>
          </w:p>
          <w:p>
            <w:pPr>
              <w:pStyle w:val="0"/>
              <w:snapToGrid w:val="0"/>
              <w:ind w:firstLine="630" w:firstLineChars="300"/>
              <w:rPr>
                <w:rFonts w:hint="default" w:ascii="ＭＳ 明朝" w:hAnsi="ＭＳ 明朝"/>
                <w:color w:val="auto"/>
              </w:rPr>
            </w:pPr>
            <w:r>
              <w:rPr>
                <w:rFonts w:hint="eastAsia" w:ascii="ＭＳ 明朝" w:hAnsi="ＭＳ 明朝"/>
                <w:color w:val="auto"/>
              </w:rPr>
              <w:t>とができます。</w:t>
            </w:r>
          </w:p>
          <w:p>
            <w:pPr>
              <w:pStyle w:val="0"/>
              <w:snapToGrid w:val="0"/>
              <w:rPr>
                <w:rFonts w:hint="default" w:ascii="ＭＳ 明朝" w:hAnsi="ＭＳ 明朝"/>
                <w:color w:val="auto"/>
              </w:rPr>
            </w:pPr>
            <w:r>
              <w:rPr>
                <w:rFonts w:hint="eastAsia" w:ascii="ＭＳ 明朝" w:hAnsi="ＭＳ 明朝"/>
                <w:color w:val="auto"/>
              </w:rPr>
              <w:t>（２）　道路などの公園事業に係る施設、集団施設地区の周辺（造林</w:t>
            </w:r>
          </w:p>
          <w:p>
            <w:pPr>
              <w:pStyle w:val="0"/>
              <w:snapToGrid w:val="0"/>
              <w:ind w:left="630" w:leftChars="300"/>
              <w:rPr>
                <w:rFonts w:hint="default" w:ascii="ＭＳ 明朝" w:hAnsi="ＭＳ 明朝"/>
                <w:color w:val="auto"/>
              </w:rPr>
            </w:pPr>
            <w:r>
              <w:rPr>
                <w:rFonts w:hint="eastAsia" w:ascii="ＭＳ 明朝" w:hAnsi="ＭＳ 明朝"/>
                <w:color w:val="auto"/>
              </w:rPr>
              <w:t>地、要改良林分、薪炭林を除く）は、原則として単木択伐法によるものとします。</w:t>
            </w:r>
          </w:p>
          <w:p>
            <w:pPr>
              <w:pStyle w:val="0"/>
              <w:snapToGrid w:val="0"/>
              <w:rPr>
                <w:rFonts w:hint="default" w:ascii="ＭＳ 明朝" w:hAnsi="ＭＳ 明朝"/>
                <w:color w:val="auto"/>
              </w:rPr>
            </w:pPr>
            <w:r>
              <w:rPr>
                <w:rFonts w:hint="eastAsia" w:ascii="ＭＳ 明朝" w:hAnsi="ＭＳ 明朝"/>
                <w:color w:val="auto"/>
              </w:rPr>
              <w:t>（３）　伐期齢は、標準伐期齢に見合う年齢以上とします。</w:t>
            </w:r>
          </w:p>
          <w:p>
            <w:pPr>
              <w:pStyle w:val="0"/>
              <w:snapToGrid w:val="0"/>
              <w:ind w:left="630" w:hanging="630" w:hangingChars="300"/>
              <w:rPr>
                <w:rFonts w:hint="default" w:ascii="ＭＳ 明朝" w:hAnsi="ＭＳ 明朝"/>
                <w:color w:val="auto"/>
              </w:rPr>
            </w:pPr>
            <w:r>
              <w:rPr>
                <w:rFonts w:hint="eastAsia" w:ascii="ＭＳ 明朝" w:hAnsi="ＭＳ 明朝"/>
                <w:color w:val="auto"/>
              </w:rPr>
              <w:t>（４）　択伐率は、用材林においては蓄積の３０％以内とし、薪炭林においては６０％以内とします。</w:t>
            </w:r>
          </w:p>
          <w:p>
            <w:pPr>
              <w:pStyle w:val="0"/>
              <w:snapToGrid w:val="0"/>
              <w:rPr>
                <w:rFonts w:hint="default" w:ascii="ＭＳ 明朝" w:hAnsi="ＭＳ 明朝"/>
                <w:color w:val="auto"/>
              </w:rPr>
            </w:pPr>
            <w:r>
              <w:rPr>
                <w:rFonts w:hint="eastAsia" w:ascii="ＭＳ 明朝" w:hAnsi="ＭＳ 明朝"/>
                <w:color w:val="auto"/>
              </w:rPr>
              <w:t>（５）　特に指定した風致林については、保育及び保護に努めること</w:t>
            </w:r>
          </w:p>
          <w:p>
            <w:pPr>
              <w:pStyle w:val="0"/>
              <w:snapToGrid w:val="0"/>
              <w:ind w:firstLine="630" w:firstLineChars="300"/>
              <w:rPr>
                <w:rFonts w:hint="default" w:ascii="ＭＳ 明朝" w:hAnsi="ＭＳ 明朝"/>
                <w:color w:val="auto"/>
              </w:rPr>
            </w:pPr>
            <w:r>
              <w:rPr>
                <w:rFonts w:hint="eastAsia" w:ascii="ＭＳ 明朝" w:hAnsi="ＭＳ 明朝"/>
                <w:color w:val="auto"/>
              </w:rPr>
              <w:t>とします。</w:t>
            </w:r>
          </w:p>
          <w:p>
            <w:pPr>
              <w:pStyle w:val="0"/>
              <w:snapToGrid w:val="0"/>
              <w:rPr>
                <w:rFonts w:hint="default" w:ascii="ＭＳ 明朝" w:hAnsi="ＭＳ 明朝"/>
                <w:color w:val="auto"/>
              </w:rPr>
            </w:pPr>
            <w:r>
              <w:rPr>
                <w:rFonts w:hint="eastAsia" w:ascii="ＭＳ 明朝" w:hAnsi="ＭＳ 明朝"/>
                <w:color w:val="auto"/>
              </w:rPr>
              <w:t>（６）　皆伐法による場合その伐区は、次のとおりとします。</w:t>
            </w:r>
          </w:p>
          <w:p>
            <w:pPr>
              <w:pStyle w:val="0"/>
              <w:snapToGrid w:val="0"/>
              <w:rPr>
                <w:rFonts w:hint="default" w:ascii="ＭＳ 明朝" w:hAnsi="ＭＳ 明朝"/>
                <w:color w:val="auto"/>
              </w:rPr>
            </w:pPr>
            <w:r>
              <w:rPr>
                <w:rFonts w:hint="eastAsia" w:ascii="ＭＳ 明朝" w:hAnsi="ＭＳ 明朝"/>
                <w:color w:val="auto"/>
              </w:rPr>
              <w:t>　①　一伐区の面積は、２</w:t>
            </w:r>
            <w:r>
              <w:rPr>
                <w:rFonts w:hint="eastAsia" w:ascii="ＭＳ 明朝" w:hAnsi="ＭＳ 明朝"/>
                <w:color w:val="auto"/>
              </w:rPr>
              <w:t>ha</w:t>
            </w:r>
            <w:r>
              <w:rPr>
                <w:rFonts w:hint="eastAsia" w:ascii="ＭＳ 明朝" w:hAnsi="ＭＳ 明朝"/>
                <w:color w:val="auto"/>
              </w:rPr>
              <w:t>以内とします。</w:t>
            </w:r>
          </w:p>
          <w:p>
            <w:pPr>
              <w:pStyle w:val="0"/>
              <w:snapToGrid w:val="0"/>
              <w:ind w:left="420" w:hanging="420" w:hangingChars="200"/>
              <w:rPr>
                <w:rFonts w:hint="default" w:ascii="ＭＳ 明朝" w:hAnsi="ＭＳ 明朝"/>
                <w:color w:val="auto"/>
              </w:rPr>
            </w:pPr>
            <w:r>
              <w:rPr>
                <w:rFonts w:hint="eastAsia" w:ascii="ＭＳ 明朝" w:hAnsi="ＭＳ 明朝"/>
                <w:color w:val="auto"/>
              </w:rPr>
              <w:t>　　　ただし、疎密度３より多くの保残木を残す場合又は車道、歩道、集団施設地区、単独施設等の主要公園利用地点が望見されない場合、伐区の面積を拡大することができます。</w:t>
            </w:r>
          </w:p>
          <w:p>
            <w:pPr>
              <w:pStyle w:val="0"/>
              <w:snapToGrid w:val="0"/>
              <w:ind w:firstLine="210" w:firstLineChars="100"/>
              <w:rPr>
                <w:rFonts w:hint="default" w:ascii="ＭＳ 明朝" w:hAnsi="ＭＳ 明朝"/>
                <w:color w:val="auto"/>
              </w:rPr>
            </w:pPr>
            <w:r>
              <w:rPr>
                <w:rFonts w:hint="eastAsia" w:ascii="ＭＳ 明朝" w:hAnsi="ＭＳ 明朝"/>
                <w:color w:val="auto"/>
              </w:rPr>
              <w:t>②　伐区は、更新後５年以上を経過しなければ連続して設定するこ</w:t>
            </w:r>
          </w:p>
          <w:p>
            <w:pPr>
              <w:pStyle w:val="0"/>
              <w:snapToGrid w:val="0"/>
              <w:ind w:left="420" w:leftChars="200"/>
              <w:rPr>
                <w:rFonts w:hint="default" w:ascii="ＭＳ 明朝" w:hAnsi="ＭＳ 明朝"/>
                <w:color w:val="auto"/>
              </w:rPr>
            </w:pPr>
            <w:r>
              <w:rPr>
                <w:rFonts w:hint="eastAsia" w:ascii="ＭＳ 明朝" w:hAnsi="ＭＳ 明朝"/>
                <w:color w:val="auto"/>
              </w:rPr>
              <w:t>とはできません。この場合においても、伐区は努めて分散しなければなりません。</w:t>
            </w:r>
          </w:p>
        </w:tc>
      </w:tr>
      <w:tr>
        <w:trPr>
          <w:trHeight w:val="481" w:hRule="atLeast"/>
        </w:trPr>
        <w:tc>
          <w:tcPr>
            <w:tcW w:w="2235" w:type="dxa"/>
            <w:vAlign w:val="center"/>
          </w:tcPr>
          <w:p>
            <w:pPr>
              <w:pStyle w:val="0"/>
              <w:jc w:val="center"/>
              <w:rPr>
                <w:rFonts w:hint="default" w:ascii="ＭＳ 明朝" w:hAnsi="ＭＳ 明朝"/>
                <w:color w:val="auto"/>
              </w:rPr>
            </w:pPr>
            <w:r>
              <w:rPr>
                <w:rFonts w:hint="eastAsia" w:ascii="ＭＳ 明朝" w:hAnsi="ＭＳ 明朝"/>
                <w:color w:val="auto"/>
              </w:rPr>
              <w:t>第３種特別地域</w:t>
            </w:r>
          </w:p>
          <w:p>
            <w:pPr>
              <w:pStyle w:val="0"/>
              <w:jc w:val="center"/>
              <w:rPr>
                <w:rFonts w:hint="default" w:ascii="ＭＳ 明朝" w:hAnsi="ＭＳ 明朝"/>
                <w:color w:val="auto"/>
              </w:rPr>
            </w:pPr>
          </w:p>
        </w:tc>
        <w:tc>
          <w:tcPr>
            <w:tcW w:w="6780" w:type="dxa"/>
            <w:vAlign w:val="center"/>
          </w:tcPr>
          <w:p>
            <w:pPr>
              <w:pStyle w:val="0"/>
              <w:snapToGrid w:val="0"/>
              <w:ind w:firstLine="210" w:firstLineChars="100"/>
              <w:rPr>
                <w:rFonts w:hint="default" w:ascii="ＭＳ 明朝" w:hAnsi="ＭＳ 明朝"/>
                <w:color w:val="auto"/>
              </w:rPr>
            </w:pPr>
            <w:r>
              <w:rPr>
                <w:rFonts w:hint="eastAsia" w:ascii="ＭＳ 明朝" w:hAnsi="ＭＳ 明朝"/>
                <w:color w:val="auto"/>
              </w:rPr>
              <w:t>第３種特別地域内の森林は、全般的な風致の維持を考慮して施業を行うこととし、特に施業の制限は受けないこととします。</w:t>
            </w:r>
          </w:p>
        </w:tc>
      </w:tr>
    </w:tbl>
    <w:p>
      <w:pPr>
        <w:pStyle w:val="0"/>
        <w:rPr>
          <w:rFonts w:hint="default" w:ascii="ＭＳ 明朝" w:hAnsi="ＭＳ 明朝"/>
          <w:color w:val="auto"/>
        </w:rPr>
      </w:pPr>
    </w:p>
    <w:p>
      <w:pPr>
        <w:pStyle w:val="0"/>
        <w:ind w:firstLine="420" w:firstLineChars="200"/>
        <w:rPr>
          <w:rFonts w:hint="default" w:ascii="ＭＳ 明朝" w:hAnsi="ＭＳ 明朝"/>
          <w:color w:val="auto"/>
        </w:rPr>
      </w:pPr>
      <w:r>
        <w:rPr>
          <w:rFonts w:hint="eastAsia" w:ascii="ＭＳ 明朝" w:hAnsi="ＭＳ 明朝"/>
          <w:color w:val="auto"/>
        </w:rPr>
        <w:t>ウ　その他の制限林</w:t>
      </w:r>
    </w:p>
    <w:p>
      <w:pPr>
        <w:pStyle w:val="0"/>
        <w:rPr>
          <w:rFonts w:hint="default" w:ascii="ＭＳ 明朝" w:hAnsi="ＭＳ 明朝"/>
          <w:color w:val="auto"/>
        </w:rPr>
      </w:pPr>
      <w:r>
        <w:rPr>
          <w:rFonts w:hint="eastAsia" w:ascii="ＭＳ 明朝" w:hAnsi="ＭＳ 明朝"/>
          <w:color w:val="auto"/>
        </w:rPr>
        <w:t>　　　　その他の制限林における伐採の方法は、表２のとおりとします。</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【表２　その他の制限林における伐採方法】</w:t>
      </w:r>
    </w:p>
    <w:tbl>
      <w:tblPr>
        <w:tblStyle w:val="11"/>
        <w:tblW w:w="909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5"/>
        <w:gridCol w:w="6830"/>
      </w:tblGrid>
      <w:tr>
        <w:trPr>
          <w:trHeight w:val="336" w:hRule="atLeast"/>
        </w:trPr>
        <w:tc>
          <w:tcPr>
            <w:tcW w:w="2265" w:type="dxa"/>
            <w:vAlign w:val="center"/>
          </w:tcPr>
          <w:p>
            <w:pPr>
              <w:pStyle w:val="0"/>
              <w:jc w:val="center"/>
              <w:rPr>
                <w:rFonts w:hint="default" w:ascii="ＭＳ 明朝" w:hAnsi="ＭＳ 明朝"/>
                <w:color w:val="auto"/>
              </w:rPr>
            </w:pPr>
            <w:r>
              <w:rPr>
                <w:rFonts w:hint="eastAsia" w:ascii="ＭＳ 明朝" w:hAnsi="ＭＳ 明朝"/>
                <w:color w:val="auto"/>
              </w:rPr>
              <w:t>区分</w:t>
            </w:r>
          </w:p>
        </w:tc>
        <w:tc>
          <w:tcPr>
            <w:tcW w:w="6830" w:type="dxa"/>
            <w:vAlign w:val="center"/>
          </w:tcPr>
          <w:p>
            <w:pPr>
              <w:pStyle w:val="0"/>
              <w:jc w:val="center"/>
              <w:rPr>
                <w:rFonts w:hint="default" w:ascii="ＭＳ 明朝" w:hAnsi="ＭＳ 明朝"/>
                <w:color w:val="auto"/>
              </w:rPr>
            </w:pPr>
            <w:r>
              <w:rPr>
                <w:rFonts w:hint="eastAsia" w:ascii="ＭＳ 明朝" w:hAnsi="ＭＳ 明朝"/>
                <w:color w:val="auto"/>
              </w:rPr>
              <w:t>制限内容</w:t>
            </w:r>
          </w:p>
        </w:tc>
      </w:tr>
      <w:tr>
        <w:trPr>
          <w:trHeight w:val="2026" w:hRule="atLeast"/>
        </w:trPr>
        <w:tc>
          <w:tcPr>
            <w:tcW w:w="2265" w:type="dxa"/>
            <w:vAlign w:val="center"/>
          </w:tcPr>
          <w:p>
            <w:pPr>
              <w:pStyle w:val="0"/>
              <w:jc w:val="center"/>
              <w:rPr>
                <w:rFonts w:hint="default" w:ascii="ＭＳ 明朝" w:hAnsi="ＭＳ 明朝"/>
                <w:color w:val="auto"/>
              </w:rPr>
            </w:pPr>
            <w:r>
              <w:rPr>
                <w:rFonts w:hint="eastAsia" w:ascii="ＭＳ 明朝" w:hAnsi="ＭＳ 明朝"/>
                <w:color w:val="auto"/>
              </w:rPr>
              <w:t>その他制限林</w:t>
            </w: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p>
            <w:pPr>
              <w:pStyle w:val="0"/>
              <w:jc w:val="center"/>
              <w:rPr>
                <w:rFonts w:hint="default" w:ascii="ＭＳ 明朝" w:hAnsi="ＭＳ 明朝"/>
                <w:color w:val="auto"/>
              </w:rPr>
            </w:pPr>
          </w:p>
        </w:tc>
        <w:tc>
          <w:tcPr>
            <w:tcW w:w="6830" w:type="dxa"/>
            <w:vAlign w:val="center"/>
          </w:tcPr>
          <w:p>
            <w:pPr>
              <w:pStyle w:val="0"/>
              <w:widowControl w:val="1"/>
              <w:snapToGrid w:val="0"/>
              <w:rPr>
                <w:rFonts w:hint="default" w:ascii="ＭＳ 明朝" w:hAnsi="ＭＳ 明朝"/>
                <w:color w:val="auto"/>
              </w:rPr>
            </w:pPr>
            <w:r>
              <w:rPr>
                <w:rFonts w:hint="eastAsia" w:ascii="ＭＳ 明朝" w:hAnsi="ＭＳ 明朝"/>
                <w:color w:val="auto"/>
              </w:rPr>
              <w:t>（１）　原則択伐とし、伐採率は蓄積の３０％以内とします。</w:t>
            </w:r>
          </w:p>
          <w:p>
            <w:pPr>
              <w:pStyle w:val="0"/>
              <w:widowControl w:val="1"/>
              <w:snapToGrid w:val="0"/>
              <w:rPr>
                <w:rFonts w:hint="default" w:ascii="ＭＳ 明朝" w:hAnsi="ＭＳ 明朝"/>
                <w:color w:val="auto"/>
              </w:rPr>
            </w:pPr>
            <w:r>
              <w:rPr>
                <w:rFonts w:hint="eastAsia" w:ascii="ＭＳ 明朝" w:hAnsi="ＭＳ 明朝"/>
                <w:color w:val="auto"/>
              </w:rPr>
              <w:t>（２）　鳥獣保護区特別保護地区内においては、鳥獣の生息、繁殖また</w:t>
            </w:r>
          </w:p>
          <w:p>
            <w:pPr>
              <w:pStyle w:val="0"/>
              <w:widowControl w:val="1"/>
              <w:snapToGrid w:val="0"/>
              <w:ind w:left="630" w:leftChars="300"/>
              <w:rPr>
                <w:rFonts w:hint="default" w:ascii="ＭＳ 明朝" w:hAnsi="ＭＳ 明朝"/>
                <w:color w:val="auto"/>
              </w:rPr>
            </w:pPr>
            <w:r>
              <w:rPr>
                <w:rFonts w:hint="eastAsia" w:ascii="ＭＳ 明朝" w:hAnsi="ＭＳ 明朝"/>
                <w:color w:val="auto"/>
              </w:rPr>
              <w:t>は安全に支障があると認められるものについては択伐（その程度が著しいと認められるものについては禁伐）とします。</w:t>
            </w:r>
          </w:p>
          <w:p>
            <w:pPr>
              <w:pStyle w:val="0"/>
              <w:widowControl w:val="1"/>
              <w:snapToGrid w:val="0"/>
              <w:rPr>
                <w:rFonts w:hint="default" w:ascii="ＭＳ 明朝" w:hAnsi="ＭＳ 明朝"/>
                <w:color w:val="auto"/>
              </w:rPr>
            </w:pPr>
            <w:r>
              <w:rPr>
                <w:rFonts w:hint="eastAsia" w:ascii="ＭＳ 明朝" w:hAnsi="ＭＳ 明朝"/>
                <w:color w:val="auto"/>
              </w:rPr>
              <w:t>（３）　砂防指定地内においては、治水砂防上影響を及ぼさないよう、</w:t>
            </w:r>
          </w:p>
          <w:p>
            <w:pPr>
              <w:pStyle w:val="0"/>
              <w:widowControl w:val="1"/>
              <w:snapToGrid w:val="0"/>
              <w:ind w:firstLine="630" w:firstLineChars="300"/>
              <w:rPr>
                <w:rFonts w:hint="default" w:ascii="ＭＳ 明朝" w:hAnsi="ＭＳ 明朝"/>
                <w:color w:val="auto"/>
              </w:rPr>
            </w:pPr>
            <w:r>
              <w:rPr>
                <w:rFonts w:hint="eastAsia" w:ascii="ＭＳ 明朝" w:hAnsi="ＭＳ 明朝"/>
                <w:color w:val="auto"/>
              </w:rPr>
              <w:t>原則択伐とし、皆伐を行う場合は伐採面積が１</w:t>
            </w:r>
            <w:r>
              <w:rPr>
                <w:rFonts w:hint="eastAsia" w:ascii="ＭＳ 明朝" w:hAnsi="ＭＳ 明朝"/>
                <w:color w:val="auto"/>
              </w:rPr>
              <w:t>ha</w:t>
            </w:r>
            <w:r>
              <w:rPr>
                <w:rFonts w:hint="eastAsia" w:ascii="ＭＳ 明朝" w:hAnsi="ＭＳ 明朝"/>
                <w:color w:val="auto"/>
              </w:rPr>
              <w:t>未満とします。</w:t>
            </w:r>
          </w:p>
          <w:p>
            <w:pPr>
              <w:pStyle w:val="0"/>
              <w:widowControl w:val="1"/>
              <w:snapToGrid w:val="0"/>
              <w:rPr>
                <w:rFonts w:hint="default" w:ascii="ＭＳ 明朝" w:hAnsi="ＭＳ 明朝"/>
                <w:color w:val="auto"/>
              </w:rPr>
            </w:pPr>
            <w:r>
              <w:rPr>
                <w:rFonts w:hint="eastAsia" w:ascii="ＭＳ 明朝" w:hAnsi="ＭＳ 明朝"/>
                <w:color w:val="auto"/>
              </w:rPr>
              <w:t>（４）　史跡、名勝または天然記念物に指定されている区域（伝統的</w:t>
            </w:r>
          </w:p>
          <w:p>
            <w:pPr>
              <w:pStyle w:val="0"/>
              <w:widowControl w:val="1"/>
              <w:snapToGrid w:val="0"/>
              <w:ind w:firstLine="630" w:firstLineChars="300"/>
              <w:rPr>
                <w:rFonts w:hint="default" w:ascii="ＭＳ 明朝" w:hAnsi="ＭＳ 明朝"/>
                <w:color w:val="auto"/>
              </w:rPr>
            </w:pPr>
            <w:r>
              <w:rPr>
                <w:rFonts w:hint="eastAsia" w:ascii="ＭＳ 明朝" w:hAnsi="ＭＳ 明朝"/>
                <w:color w:val="auto"/>
              </w:rPr>
              <w:t>建造物群保存地区を除く）においては、原則禁伐とします。</w:t>
            </w:r>
          </w:p>
        </w:tc>
      </w:tr>
    </w:tbl>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（３）　森林施業の技術及び知識の普及・指導に関する事項</w:t>
      </w:r>
    </w:p>
    <w:p>
      <w:pPr>
        <w:pStyle w:val="0"/>
        <w:rPr>
          <w:rFonts w:hint="default" w:ascii="ＭＳ 明朝" w:hAnsi="ＭＳ 明朝"/>
          <w:color w:val="auto"/>
        </w:rPr>
      </w:pPr>
      <w:r>
        <w:rPr>
          <w:rFonts w:hint="eastAsia" w:ascii="ＭＳ 明朝" w:hAnsi="ＭＳ 明朝"/>
          <w:color w:val="auto"/>
        </w:rPr>
        <w:t>　　　　地域の特性に応じた具体的な施業の方法に関して、森林組合等の林業事業体、北海道指導林家</w:t>
      </w:r>
    </w:p>
    <w:p>
      <w:pPr>
        <w:pStyle w:val="0"/>
        <w:ind w:left="630" w:leftChars="300"/>
        <w:rPr>
          <w:rFonts w:hint="default" w:ascii="ＭＳ 明朝" w:hAnsi="ＭＳ 明朝"/>
          <w:color w:val="auto"/>
        </w:rPr>
      </w:pPr>
      <w:r>
        <w:rPr>
          <w:rFonts w:hint="eastAsia" w:ascii="ＭＳ 明朝" w:hAnsi="ＭＳ 明朝"/>
          <w:color w:val="auto"/>
        </w:rPr>
        <w:t>や青年林業士など関係者の合意形成を図り、適切な方法による間伐等の森林整備が進むよう、北海道等の指導機関と連携した普及啓発を進めることとします。</w:t>
      </w:r>
    </w:p>
    <w:p>
      <w:pPr>
        <w:pStyle w:val="0"/>
        <w:rPr>
          <w:rFonts w:hint="default"/>
          <w:color w:val="auto"/>
        </w:rPr>
      </w:pPr>
      <w:r>
        <w:rPr>
          <w:rFonts w:hint="default" w:ascii="ＭＳ 明朝" w:hAnsi="ＭＳ 明朝"/>
          <w:dstrike w:val="1"/>
          <w:color w:val="auto"/>
        </w:rPr>
        <w:br w:type="page"/>
      </w:r>
    </w:p>
    <w:p>
      <w:pPr>
        <w:pStyle w:val="0"/>
        <w:rPr>
          <w:rFonts w:hint="default"/>
          <w:color w:val="auto"/>
        </w:rPr>
      </w:pPr>
      <w:r>
        <w:rPr>
          <w:rFonts w:hint="eastAsia"/>
          <w:color w:val="auto"/>
        </w:rPr>
        <w:drawing>
          <wp:inline distT="0" distB="0" distL="203200" distR="203200">
            <wp:extent cx="6408420" cy="892111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1"/>
                    <a:stretch>
                      <a:fillRect/>
                    </a:stretch>
                  </pic:blipFill>
                  <pic:spPr>
                    <a:xfrm>
                      <a:off x="0" y="0"/>
                      <a:ext cx="6408420" cy="8921115"/>
                    </a:xfrm>
                    <a:prstGeom prst="rect">
                      <a:avLst/>
                    </a:prstGeom>
                  </pic:spPr>
                </pic:pic>
              </a:graphicData>
            </a:graphic>
          </wp:inline>
        </w:drawing>
      </w:r>
    </w:p>
    <w:p>
      <w:pPr>
        <w:pStyle w:val="0"/>
        <w:rPr>
          <w:rFonts w:hint="default"/>
          <w:color w:val="auto"/>
        </w:rPr>
      </w:pPr>
      <w:r>
        <w:rPr>
          <w:rFonts w:hint="eastAsia"/>
          <w:color w:val="auto"/>
        </w:rPr>
        <w:drawing>
          <wp:inline distT="0" distB="0" distL="203200" distR="203200">
            <wp:extent cx="6408420" cy="791972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2"/>
                    <a:stretch>
                      <a:fillRect/>
                    </a:stretch>
                  </pic:blipFill>
                  <pic:spPr>
                    <a:xfrm>
                      <a:off x="0" y="0"/>
                      <a:ext cx="6408420" cy="7919720"/>
                    </a:xfrm>
                    <a:prstGeom prst="rect">
                      <a:avLst/>
                    </a:prstGeom>
                  </pic:spPr>
                </pic:pic>
              </a:graphicData>
            </a:graphic>
          </wp:inline>
        </w:drawing>
      </w:r>
      <w:r>
        <w:rPr>
          <w:rFonts w:hint="default" w:ascii="ＭＳ 明朝" w:hAnsi="ＭＳ 明朝"/>
          <w:dstrike w:val="1"/>
          <w:color w:val="auto"/>
        </w:rPr>
        <w:br w:type="page"/>
      </w:r>
      <w:r>
        <w:rPr>
          <w:rFonts w:hint="eastAsia"/>
          <w:color w:val="auto"/>
        </w:rPr>
        <w:drawing>
          <wp:inline distT="0" distB="0" distL="203200" distR="203200">
            <wp:extent cx="6408420" cy="835533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3"/>
                    <a:stretch>
                      <a:fillRect/>
                    </a:stretch>
                  </pic:blipFill>
                  <pic:spPr>
                    <a:xfrm>
                      <a:off x="0" y="0"/>
                      <a:ext cx="6408420" cy="8355330"/>
                    </a:xfrm>
                    <a:prstGeom prst="rect">
                      <a:avLst/>
                    </a:prstGeom>
                  </pic:spPr>
                </pic:pic>
              </a:graphicData>
            </a:graphic>
          </wp:inline>
        </w:drawing>
      </w:r>
      <w:r>
        <w:rPr>
          <w:rFonts w:hint="default" w:ascii="ＭＳ 明朝" w:hAnsi="ＭＳ 明朝"/>
          <w:dstrike w:val="1"/>
          <w:color w:val="auto"/>
        </w:rPr>
        <w:br w:type="page"/>
      </w:r>
      <w:r>
        <w:rPr>
          <w:rFonts w:hint="eastAsia"/>
        </w:rPr>
        <w:drawing>
          <wp:inline distT="0" distB="0" distL="203200" distR="203200">
            <wp:extent cx="6408420" cy="811466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4"/>
                    <a:stretch>
                      <a:fillRect/>
                    </a:stretch>
                  </pic:blipFill>
                  <pic:spPr>
                    <a:xfrm>
                      <a:off x="0" y="0"/>
                      <a:ext cx="6408420" cy="8114665"/>
                    </a:xfrm>
                    <a:prstGeom prst="rect">
                      <a:avLst/>
                    </a:prstGeom>
                  </pic:spPr>
                </pic:pic>
              </a:graphicData>
            </a:graphic>
          </wp:inline>
        </w:drawing>
      </w:r>
      <w:r>
        <w:rPr>
          <w:rFonts w:hint="default" w:ascii="ＭＳ 明朝" w:hAnsi="ＭＳ 明朝"/>
          <w:dstrike w:val="1"/>
          <w:color w:val="auto"/>
        </w:rPr>
        <w:br w:type="page"/>
      </w:r>
    </w:p>
    <w:p>
      <w:pPr>
        <w:pStyle w:val="0"/>
        <w:rPr>
          <w:rFonts w:hint="default"/>
          <w:color w:val="auto"/>
        </w:rPr>
      </w:pPr>
      <w:r>
        <w:rPr>
          <w:rFonts w:hint="eastAsia"/>
          <w:color w:val="auto"/>
        </w:rPr>
        <w:t>別表２　森林施業の方法を特定すべき森林</w:t>
      </w:r>
    </w:p>
    <w:p>
      <w:pPr>
        <w:pStyle w:val="0"/>
        <w:rPr>
          <w:rFonts w:hint="default"/>
          <w:color w:val="auto"/>
        </w:rPr>
      </w:pPr>
      <w:r>
        <w:rPr>
          <w:rFonts w:hint="eastAsia"/>
          <w:color w:val="auto"/>
        </w:rPr>
        <w:t>【一般民有林】</w:t>
      </w:r>
    </w:p>
    <w:tbl>
      <w:tblPr>
        <w:tblStyle w:val="11"/>
        <w:tblW w:w="10491"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1"/>
        <w:gridCol w:w="997"/>
        <w:gridCol w:w="895"/>
        <w:gridCol w:w="1094"/>
        <w:gridCol w:w="2125"/>
        <w:gridCol w:w="1700"/>
        <w:gridCol w:w="2409"/>
      </w:tblGrid>
      <w:tr>
        <w:trPr>
          <w:trHeight w:val="360" w:hRule="atLeast"/>
        </w:trPr>
        <w:tc>
          <w:tcPr>
            <w:tcW w:w="1271" w:type="dxa"/>
            <w:vMerge w:val="restart"/>
            <w:vAlign w:val="center"/>
          </w:tcPr>
          <w:p>
            <w:pPr>
              <w:pStyle w:val="0"/>
              <w:jc w:val="center"/>
              <w:rPr>
                <w:rFonts w:hint="default"/>
                <w:color w:val="auto"/>
                <w:sz w:val="14"/>
              </w:rPr>
            </w:pPr>
            <w:r>
              <w:rPr>
                <w:rFonts w:hint="eastAsia"/>
                <w:color w:val="auto"/>
                <w:sz w:val="14"/>
              </w:rPr>
              <w:t>区分</w:t>
            </w:r>
          </w:p>
        </w:tc>
        <w:tc>
          <w:tcPr>
            <w:tcW w:w="1892" w:type="dxa"/>
            <w:gridSpan w:val="2"/>
            <w:vMerge w:val="restart"/>
            <w:vAlign w:val="center"/>
          </w:tcPr>
          <w:p>
            <w:pPr>
              <w:pStyle w:val="0"/>
              <w:jc w:val="center"/>
              <w:rPr>
                <w:rFonts w:hint="default"/>
                <w:color w:val="auto"/>
                <w:sz w:val="14"/>
              </w:rPr>
            </w:pPr>
            <w:r>
              <w:rPr>
                <w:rFonts w:hint="eastAsia"/>
                <w:color w:val="auto"/>
                <w:sz w:val="14"/>
              </w:rPr>
              <w:t>施業の方法</w:t>
            </w:r>
          </w:p>
        </w:tc>
        <w:tc>
          <w:tcPr>
            <w:tcW w:w="3219" w:type="dxa"/>
            <w:gridSpan w:val="2"/>
            <w:vAlign w:val="center"/>
          </w:tcPr>
          <w:p>
            <w:pPr>
              <w:pStyle w:val="0"/>
              <w:jc w:val="center"/>
              <w:rPr>
                <w:rFonts w:hint="default"/>
                <w:color w:val="auto"/>
                <w:sz w:val="14"/>
              </w:rPr>
            </w:pPr>
            <w:r>
              <w:rPr>
                <w:rFonts w:hint="eastAsia"/>
                <w:color w:val="auto"/>
                <w:sz w:val="14"/>
              </w:rPr>
              <w:t>森林の区域</w:t>
            </w:r>
          </w:p>
        </w:tc>
        <w:tc>
          <w:tcPr>
            <w:tcW w:w="1700" w:type="dxa"/>
            <w:vMerge w:val="restart"/>
            <w:vAlign w:val="center"/>
          </w:tcPr>
          <w:p>
            <w:pPr>
              <w:pStyle w:val="0"/>
              <w:jc w:val="center"/>
              <w:rPr>
                <w:rFonts w:hint="default"/>
                <w:color w:val="auto"/>
                <w:sz w:val="14"/>
              </w:rPr>
            </w:pPr>
            <w:r>
              <w:rPr>
                <w:rFonts w:hint="eastAsia"/>
                <w:color w:val="auto"/>
                <w:sz w:val="14"/>
              </w:rPr>
              <w:t>面積（</w:t>
            </w:r>
            <w:r>
              <w:rPr>
                <w:rFonts w:hint="eastAsia"/>
                <w:color w:val="auto"/>
                <w:sz w:val="14"/>
              </w:rPr>
              <w:t>ha</w:t>
            </w:r>
            <w:r>
              <w:rPr>
                <w:rFonts w:hint="eastAsia"/>
                <w:color w:val="auto"/>
                <w:sz w:val="14"/>
              </w:rPr>
              <w:t>）</w:t>
            </w:r>
          </w:p>
        </w:tc>
        <w:tc>
          <w:tcPr>
            <w:tcW w:w="2409" w:type="dxa"/>
            <w:vMerge w:val="restart"/>
            <w:shd w:val="clear" w:color="auto" w:fill="auto"/>
            <w:vAlign w:val="top"/>
          </w:tcPr>
          <w:p>
            <w:pPr>
              <w:pStyle w:val="0"/>
              <w:widowControl w:val="1"/>
              <w:jc w:val="left"/>
              <w:rPr>
                <w:rFonts w:hint="default"/>
                <w:color w:val="auto"/>
                <w:sz w:val="14"/>
              </w:rPr>
            </w:pPr>
            <w:r>
              <w:rPr>
                <w:rFonts w:hint="eastAsia"/>
                <w:color w:val="auto"/>
                <w:sz w:val="14"/>
              </w:rPr>
              <w:t>森林経営計画における主な実施基準（参考）（注１）　</w:t>
            </w:r>
          </w:p>
        </w:tc>
      </w:tr>
      <w:tr>
        <w:trPr>
          <w:trHeight w:val="273" w:hRule="atLeast"/>
        </w:trPr>
        <w:tc>
          <w:tcPr>
            <w:tcW w:w="1271" w:type="dxa"/>
            <w:vMerge w:val="continue"/>
            <w:vAlign w:val="center"/>
          </w:tcPr>
          <w:p>
            <w:pPr>
              <w:pStyle w:val="0"/>
              <w:jc w:val="center"/>
              <w:rPr>
                <w:rFonts w:hint="default"/>
                <w:sz w:val="14"/>
              </w:rPr>
            </w:pPr>
          </w:p>
        </w:tc>
        <w:tc>
          <w:tcPr>
            <w:tcW w:w="1892" w:type="dxa"/>
            <w:gridSpan w:val="2"/>
            <w:vMerge w:val="continue"/>
            <w:vAlign w:val="center"/>
          </w:tcPr>
          <w:p>
            <w:pPr>
              <w:pStyle w:val="0"/>
              <w:jc w:val="center"/>
              <w:rPr>
                <w:rFonts w:hint="default"/>
                <w:sz w:val="14"/>
              </w:rPr>
            </w:pPr>
          </w:p>
        </w:tc>
        <w:tc>
          <w:tcPr>
            <w:tcW w:w="1094" w:type="dxa"/>
            <w:vAlign w:val="center"/>
          </w:tcPr>
          <w:p>
            <w:pPr>
              <w:pStyle w:val="0"/>
              <w:jc w:val="center"/>
              <w:rPr>
                <w:rFonts w:hint="default"/>
                <w:color w:val="auto"/>
                <w:sz w:val="14"/>
              </w:rPr>
            </w:pPr>
            <w:r>
              <w:rPr>
                <w:rFonts w:hint="eastAsia"/>
                <w:color w:val="auto"/>
                <w:sz w:val="14"/>
              </w:rPr>
              <w:t>林班</w:t>
            </w:r>
          </w:p>
        </w:tc>
        <w:tc>
          <w:tcPr>
            <w:tcW w:w="2125" w:type="dxa"/>
            <w:vAlign w:val="center"/>
          </w:tcPr>
          <w:p>
            <w:pPr>
              <w:pStyle w:val="0"/>
              <w:jc w:val="center"/>
              <w:rPr>
                <w:rFonts w:hint="default"/>
                <w:color w:val="auto"/>
                <w:sz w:val="14"/>
              </w:rPr>
            </w:pPr>
            <w:r>
              <w:rPr>
                <w:rFonts w:hint="eastAsia"/>
                <w:color w:val="auto"/>
                <w:sz w:val="14"/>
              </w:rPr>
              <w:t>小班</w:t>
            </w:r>
          </w:p>
        </w:tc>
        <w:tc>
          <w:tcPr>
            <w:tcW w:w="1700" w:type="dxa"/>
            <w:vMerge w:val="continue"/>
            <w:vAlign w:val="center"/>
          </w:tcPr>
          <w:p>
            <w:pPr>
              <w:pStyle w:val="0"/>
              <w:jc w:val="center"/>
              <w:rPr>
                <w:rFonts w:hint="default"/>
              </w:rPr>
            </w:pPr>
          </w:p>
        </w:tc>
        <w:tc>
          <w:tcPr>
            <w:tcW w:w="2409" w:type="dxa"/>
            <w:vMerge w:val="continue"/>
            <w:shd w:val="clear" w:color="auto" w:fill="auto"/>
            <w:vAlign w:val="top"/>
          </w:tcPr>
          <w:p>
            <w:pPr>
              <w:pStyle w:val="0"/>
              <w:widowControl w:val="1"/>
              <w:jc w:val="left"/>
              <w:rPr>
                <w:rFonts w:hint="default"/>
              </w:rPr>
            </w:pPr>
          </w:p>
        </w:tc>
      </w:tr>
      <w:tr>
        <w:trPr>
          <w:trHeight w:val="645" w:hRule="atLeast"/>
        </w:trPr>
        <w:tc>
          <w:tcPr>
            <w:tcW w:w="1271" w:type="dxa"/>
            <w:vMerge w:val="restart"/>
            <w:vAlign w:val="center"/>
          </w:tcPr>
          <w:p>
            <w:pPr>
              <w:pStyle w:val="0"/>
              <w:rPr>
                <w:rFonts w:hint="default"/>
                <w:color w:val="auto"/>
                <w:sz w:val="14"/>
              </w:rPr>
            </w:pPr>
            <w:r>
              <w:rPr>
                <w:rFonts w:hint="eastAsia"/>
                <w:color w:val="auto"/>
                <w:sz w:val="14"/>
              </w:rPr>
              <w:t>水源の</w:t>
            </w:r>
            <w:r>
              <w:rPr>
                <w:rFonts w:hint="eastAsia"/>
                <w:color w:val="auto"/>
                <w:sz w:val="14"/>
              </w:rPr>
              <w:fldChar w:fldCharType="begin"/>
            </w:r>
            <w:r>
              <w:rPr>
                <w:rFonts w:hint="eastAsia"/>
                <w:color w:val="auto"/>
                <w:sz w:val="14"/>
              </w:rPr>
              <w:instrText>EQ \* jc2 \* hps7 \o\ad(\s\up 6(</w:instrText>
            </w:r>
            <w:r>
              <w:rPr>
                <w:rFonts w:hint="eastAsia" w:ascii="ＭＳ 明朝" w:hAnsi="ＭＳ 明朝"/>
                <w:color w:val="auto"/>
                <w:sz w:val="7"/>
              </w:rPr>
              <w:instrText>か</w:instrText>
            </w:r>
            <w:r>
              <w:rPr>
                <w:rFonts w:hint="eastAsia" w:ascii="ＭＳ 明朝" w:hAnsi="ＭＳ 明朝"/>
                <w:color w:val="auto"/>
                <w:sz w:val="7"/>
              </w:rPr>
              <w:instrText>ん</w:instrText>
            </w:r>
            <w:r>
              <w:rPr>
                <w:rFonts w:hint="eastAsia"/>
                <w:color w:val="auto"/>
                <w:sz w:val="14"/>
              </w:rPr>
              <w:instrText>),</w:instrText>
            </w:r>
            <w:r>
              <w:rPr>
                <w:rFonts w:hint="eastAsia"/>
                <w:color w:val="auto"/>
                <w:sz w:val="14"/>
              </w:rPr>
              <w:instrText>涵</w:instrText>
            </w:r>
            <w:r>
              <w:rPr>
                <w:rFonts w:hint="eastAsia"/>
                <w:color w:val="auto"/>
                <w:sz w:val="14"/>
              </w:rPr>
              <w:instrText>)</w:instrText>
            </w:r>
            <w:r>
              <w:rPr>
                <w:rFonts w:hint="eastAsia"/>
                <w:color w:val="auto"/>
                <w:sz w:val="14"/>
              </w:rPr>
              <w:fldChar w:fldCharType="end"/>
            </w:r>
            <w:r>
              <w:rPr>
                <w:rFonts w:hint="eastAsia"/>
                <w:color w:val="auto"/>
                <w:sz w:val="14"/>
              </w:rPr>
              <w:t>養の機能の維持増進を図るための森林施業を推進すべき森林</w:t>
            </w:r>
          </w:p>
        </w:tc>
        <w:tc>
          <w:tcPr>
            <w:tcW w:w="1892" w:type="dxa"/>
            <w:gridSpan w:val="2"/>
            <w:vAlign w:val="center"/>
          </w:tcPr>
          <w:p>
            <w:pPr>
              <w:pStyle w:val="0"/>
              <w:widowControl w:val="1"/>
              <w:jc w:val="left"/>
              <w:rPr>
                <w:rFonts w:hint="default"/>
                <w:color w:val="auto"/>
                <w:sz w:val="14"/>
              </w:rPr>
            </w:pPr>
            <w:r>
              <w:rPr>
                <w:rFonts w:hint="eastAsia"/>
                <w:color w:val="auto"/>
                <w:sz w:val="14"/>
              </w:rPr>
              <w:t>伐期の延長を推進すべき森林</w:t>
            </w:r>
          </w:p>
        </w:tc>
        <w:tc>
          <w:tcPr>
            <w:tcW w:w="4919" w:type="dxa"/>
            <w:gridSpan w:val="3"/>
            <w:vAlign w:val="center"/>
          </w:tcPr>
          <w:p>
            <w:pPr>
              <w:pStyle w:val="0"/>
              <w:jc w:val="left"/>
              <w:rPr>
                <w:rFonts w:hint="default"/>
                <w:color w:val="auto"/>
              </w:rPr>
            </w:pPr>
            <w:r>
              <w:rPr>
                <w:rFonts w:hint="eastAsia"/>
                <w:color w:val="auto"/>
              </w:rPr>
              <w:t>該当なし</w:t>
            </w:r>
          </w:p>
        </w:tc>
        <w:tc>
          <w:tcPr>
            <w:tcW w:w="2409" w:type="dxa"/>
            <w:shd w:val="clear" w:color="auto" w:fill="auto"/>
            <w:vAlign w:val="top"/>
          </w:tcPr>
          <w:p>
            <w:pPr>
              <w:pStyle w:val="0"/>
              <w:widowControl w:val="1"/>
              <w:jc w:val="left"/>
              <w:rPr>
                <w:rFonts w:hint="default"/>
                <w:color w:val="auto"/>
                <w:sz w:val="14"/>
              </w:rPr>
            </w:pPr>
            <w:r>
              <w:rPr>
                <w:rFonts w:hint="eastAsia"/>
                <w:color w:val="auto"/>
                <w:sz w:val="14"/>
              </w:rPr>
              <w:t>主伐林齢：標準伐期齢＋</w:t>
            </w:r>
            <w:r>
              <w:rPr>
                <w:rFonts w:hint="eastAsia"/>
                <w:color w:val="auto"/>
                <w:sz w:val="14"/>
              </w:rPr>
              <w:t>10</w:t>
            </w:r>
            <w:r>
              <w:rPr>
                <w:rFonts w:hint="eastAsia"/>
                <w:color w:val="auto"/>
                <w:sz w:val="14"/>
              </w:rPr>
              <w:t>年以上</w:t>
            </w:r>
          </w:p>
          <w:p>
            <w:pPr>
              <w:pStyle w:val="0"/>
              <w:widowControl w:val="1"/>
              <w:jc w:val="left"/>
              <w:rPr>
                <w:rFonts w:hint="default"/>
                <w:color w:val="auto"/>
                <w:sz w:val="14"/>
              </w:rPr>
            </w:pPr>
            <w:r>
              <w:rPr>
                <w:rFonts w:hint="eastAsia"/>
                <w:color w:val="auto"/>
                <w:sz w:val="14"/>
              </w:rPr>
              <w:t>皆伐面積：</w:t>
            </w:r>
            <w:r>
              <w:rPr>
                <w:rFonts w:hint="eastAsia"/>
                <w:color w:val="auto"/>
                <w:sz w:val="14"/>
              </w:rPr>
              <w:t>20ha</w:t>
            </w:r>
            <w:r>
              <w:rPr>
                <w:rFonts w:hint="eastAsia"/>
                <w:color w:val="auto"/>
                <w:sz w:val="14"/>
              </w:rPr>
              <w:t>以下</w:t>
            </w:r>
          </w:p>
        </w:tc>
      </w:tr>
      <w:tr>
        <w:trPr>
          <w:trHeight w:val="974" w:hRule="atLeast"/>
        </w:trPr>
        <w:tc>
          <w:tcPr>
            <w:tcW w:w="1271" w:type="dxa"/>
            <w:vMerge w:val="continue"/>
            <w:vAlign w:val="center"/>
          </w:tcPr>
          <w:p>
            <w:pPr>
              <w:pStyle w:val="0"/>
              <w:rPr>
                <w:rFonts w:hint="eastAsia"/>
              </w:rPr>
            </w:pPr>
          </w:p>
        </w:tc>
        <w:tc>
          <w:tcPr>
            <w:tcW w:w="1892" w:type="dxa"/>
            <w:gridSpan w:val="2"/>
            <w:vAlign w:val="center"/>
          </w:tcPr>
          <w:p>
            <w:pPr>
              <w:pStyle w:val="0"/>
              <w:rPr>
                <w:rFonts w:hint="default"/>
                <w:color w:val="auto"/>
                <w:sz w:val="14"/>
              </w:rPr>
            </w:pPr>
            <w:r>
              <w:rPr>
                <w:rFonts w:hint="eastAsia"/>
                <w:color w:val="auto"/>
                <w:sz w:val="14"/>
              </w:rPr>
              <w:t>伐採面積の規模の縮小を行うべき森林（注２）</w:t>
            </w:r>
          </w:p>
        </w:tc>
        <w:tc>
          <w:tcPr>
            <w:tcW w:w="4919" w:type="dxa"/>
            <w:gridSpan w:val="3"/>
            <w:vAlign w:val="center"/>
          </w:tcPr>
          <w:p>
            <w:pPr>
              <w:pStyle w:val="0"/>
              <w:jc w:val="left"/>
              <w:rPr>
                <w:rFonts w:hint="default"/>
                <w:color w:val="auto"/>
              </w:rPr>
            </w:pPr>
            <w:r>
              <w:rPr>
                <w:rFonts w:hint="eastAsia"/>
                <w:color w:val="auto"/>
              </w:rPr>
              <w:t>該当なし</w:t>
            </w:r>
          </w:p>
        </w:tc>
        <w:tc>
          <w:tcPr>
            <w:tcW w:w="2409" w:type="dxa"/>
            <w:shd w:val="clear" w:color="auto" w:fill="auto"/>
            <w:vAlign w:val="top"/>
          </w:tcPr>
          <w:p>
            <w:pPr>
              <w:pStyle w:val="0"/>
              <w:widowControl w:val="1"/>
              <w:jc w:val="left"/>
              <w:rPr>
                <w:rFonts w:hint="default"/>
                <w:color w:val="auto"/>
                <w:sz w:val="14"/>
              </w:rPr>
            </w:pPr>
            <w:r>
              <w:rPr>
                <w:rFonts w:hint="eastAsia"/>
                <w:color w:val="auto"/>
                <w:sz w:val="14"/>
              </w:rPr>
              <w:t>主伐林齢：標準伐期齢＋</w:t>
            </w:r>
            <w:r>
              <w:rPr>
                <w:rFonts w:hint="eastAsia"/>
                <w:color w:val="auto"/>
                <w:sz w:val="14"/>
              </w:rPr>
              <w:t>10</w:t>
            </w:r>
            <w:r>
              <w:rPr>
                <w:rFonts w:hint="eastAsia"/>
                <w:color w:val="auto"/>
                <w:sz w:val="14"/>
              </w:rPr>
              <w:t>年以上</w:t>
            </w:r>
          </w:p>
          <w:p>
            <w:pPr>
              <w:pStyle w:val="0"/>
              <w:widowControl w:val="1"/>
              <w:jc w:val="left"/>
              <w:rPr>
                <w:rFonts w:hint="default"/>
                <w:color w:val="auto"/>
                <w:sz w:val="14"/>
              </w:rPr>
            </w:pPr>
            <w:r>
              <w:rPr>
                <w:rFonts w:hint="eastAsia"/>
                <w:color w:val="auto"/>
                <w:sz w:val="14"/>
              </w:rPr>
              <w:t>皆伐面積：</w:t>
            </w:r>
            <w:r>
              <w:rPr>
                <w:rFonts w:hint="eastAsia"/>
                <w:color w:val="auto"/>
                <w:sz w:val="14"/>
              </w:rPr>
              <w:t>10ha</w:t>
            </w:r>
            <w:r>
              <w:rPr>
                <w:rFonts w:hint="eastAsia"/>
                <w:color w:val="auto"/>
                <w:sz w:val="14"/>
              </w:rPr>
              <w:t>以下</w:t>
            </w:r>
          </w:p>
        </w:tc>
      </w:tr>
      <w:tr>
        <w:trPr>
          <w:trHeight w:val="767" w:hRule="atLeast"/>
        </w:trPr>
        <w:tc>
          <w:tcPr>
            <w:tcW w:w="1271" w:type="dxa"/>
            <w:vMerge w:val="restart"/>
            <w:vAlign w:val="center"/>
          </w:tcPr>
          <w:p>
            <w:pPr>
              <w:pStyle w:val="0"/>
              <w:rPr>
                <w:rFonts w:hint="default"/>
                <w:color w:val="auto"/>
                <w:sz w:val="14"/>
              </w:rPr>
            </w:pPr>
            <w:r>
              <w:rPr>
                <w:rFonts w:hint="eastAsia"/>
                <w:color w:val="auto"/>
                <w:sz w:val="14"/>
              </w:rPr>
              <w:t>森林の有する土地に関する災害の防止機能、土壌の保全の機能、快適な環境の形成の機能または保健機能の維持増進を図るための森林施業を推進すべき森林</w:t>
            </w:r>
          </w:p>
        </w:tc>
        <w:tc>
          <w:tcPr>
            <w:tcW w:w="1892" w:type="dxa"/>
            <w:gridSpan w:val="2"/>
            <w:vAlign w:val="center"/>
          </w:tcPr>
          <w:p>
            <w:pPr>
              <w:pStyle w:val="0"/>
              <w:widowControl w:val="1"/>
              <w:jc w:val="left"/>
              <w:rPr>
                <w:rFonts w:hint="default"/>
                <w:color w:val="auto"/>
                <w:sz w:val="14"/>
              </w:rPr>
            </w:pPr>
            <w:r>
              <w:rPr>
                <w:rFonts w:hint="eastAsia"/>
                <w:color w:val="auto"/>
                <w:sz w:val="14"/>
              </w:rPr>
              <w:t>伐期の延長を推進すべき森林</w:t>
            </w:r>
          </w:p>
        </w:tc>
        <w:tc>
          <w:tcPr>
            <w:tcW w:w="4919" w:type="dxa"/>
            <w:gridSpan w:val="3"/>
            <w:vAlign w:val="center"/>
          </w:tcPr>
          <w:p>
            <w:pPr>
              <w:pStyle w:val="0"/>
              <w:jc w:val="left"/>
              <w:rPr>
                <w:rFonts w:hint="default"/>
                <w:color w:val="auto"/>
              </w:rPr>
            </w:pPr>
            <w:r>
              <w:rPr>
                <w:rFonts w:hint="eastAsia"/>
                <w:color w:val="auto"/>
              </w:rPr>
              <w:t>別表１の１</w:t>
            </w:r>
          </w:p>
          <w:p>
            <w:pPr>
              <w:pStyle w:val="0"/>
              <w:jc w:val="left"/>
              <w:rPr>
                <w:rFonts w:hint="default"/>
                <w:color w:val="auto"/>
              </w:rPr>
            </w:pPr>
            <w:r>
              <w:rPr>
                <w:rFonts w:hint="eastAsia"/>
                <w:color w:val="auto"/>
              </w:rPr>
              <w:t>農村環境保全林（更別村独自ゾーン）のとおり</w:t>
            </w:r>
          </w:p>
        </w:tc>
        <w:tc>
          <w:tcPr>
            <w:tcW w:w="2409" w:type="dxa"/>
            <w:shd w:val="clear" w:color="auto" w:fill="auto"/>
            <w:vAlign w:val="top"/>
          </w:tcPr>
          <w:p>
            <w:pPr>
              <w:pStyle w:val="0"/>
              <w:widowControl w:val="1"/>
              <w:jc w:val="left"/>
              <w:rPr>
                <w:rFonts w:hint="default"/>
                <w:color w:val="auto"/>
                <w:sz w:val="14"/>
              </w:rPr>
            </w:pPr>
            <w:r>
              <w:rPr>
                <w:rFonts w:hint="eastAsia"/>
                <w:color w:val="auto"/>
                <w:sz w:val="14"/>
              </w:rPr>
              <w:t>主伐林齢：標準伐期齢＋</w:t>
            </w:r>
            <w:r>
              <w:rPr>
                <w:rFonts w:hint="eastAsia"/>
                <w:color w:val="auto"/>
                <w:sz w:val="14"/>
              </w:rPr>
              <w:t>5</w:t>
            </w:r>
            <w:r>
              <w:rPr>
                <w:rFonts w:hint="eastAsia"/>
                <w:color w:val="auto"/>
                <w:sz w:val="14"/>
              </w:rPr>
              <w:t>年以上</w:t>
            </w:r>
          </w:p>
          <w:p>
            <w:pPr>
              <w:pStyle w:val="0"/>
              <w:widowControl w:val="1"/>
              <w:jc w:val="left"/>
              <w:rPr>
                <w:rFonts w:hint="default"/>
                <w:color w:val="auto"/>
                <w:sz w:val="14"/>
              </w:rPr>
            </w:pPr>
            <w:r>
              <w:rPr>
                <w:rFonts w:hint="eastAsia"/>
                <w:color w:val="auto"/>
                <w:sz w:val="14"/>
              </w:rPr>
              <w:t>皆伐面積：</w:t>
            </w:r>
            <w:r>
              <w:rPr>
                <w:rFonts w:hint="eastAsia"/>
                <w:color w:val="auto"/>
                <w:sz w:val="14"/>
              </w:rPr>
              <w:t>20ha</w:t>
            </w:r>
            <w:r>
              <w:rPr>
                <w:rFonts w:hint="eastAsia"/>
                <w:color w:val="auto"/>
                <w:sz w:val="14"/>
              </w:rPr>
              <w:t>以下</w:t>
            </w:r>
          </w:p>
        </w:tc>
      </w:tr>
      <w:tr>
        <w:trPr>
          <w:trHeight w:val="583" w:hRule="atLeast"/>
        </w:trPr>
        <w:tc>
          <w:tcPr>
            <w:tcW w:w="1271" w:type="dxa"/>
            <w:vMerge w:val="continue"/>
            <w:vAlign w:val="center"/>
          </w:tcPr>
          <w:p>
            <w:pPr>
              <w:pStyle w:val="0"/>
              <w:rPr>
                <w:rFonts w:hint="default"/>
                <w:sz w:val="14"/>
              </w:rPr>
            </w:pPr>
          </w:p>
        </w:tc>
        <w:tc>
          <w:tcPr>
            <w:tcW w:w="997"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left"/>
              <w:rPr>
                <w:rFonts w:hint="default"/>
                <w:color w:val="auto"/>
                <w:sz w:val="14"/>
              </w:rPr>
            </w:pPr>
            <w:r>
              <w:rPr>
                <w:rFonts w:hint="eastAsia"/>
                <w:color w:val="auto"/>
                <w:sz w:val="14"/>
              </w:rPr>
              <w:t>長伐期施業を推進すべき森林（注３）</w:t>
            </w:r>
          </w:p>
        </w:tc>
        <w:tc>
          <w:tcPr>
            <w:tcW w:w="89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color w:val="auto"/>
                <w:sz w:val="14"/>
              </w:rPr>
            </w:pPr>
          </w:p>
        </w:tc>
        <w:tc>
          <w:tcPr>
            <w:tcW w:w="4919" w:type="dxa"/>
            <w:gridSpan w:val="3"/>
            <w:vAlign w:val="center"/>
          </w:tcPr>
          <w:p>
            <w:pPr>
              <w:pStyle w:val="0"/>
              <w:jc w:val="left"/>
              <w:rPr>
                <w:rFonts w:hint="default"/>
                <w:color w:val="auto"/>
              </w:rPr>
            </w:pPr>
            <w:r>
              <w:rPr>
                <w:rFonts w:hint="eastAsia"/>
                <w:color w:val="auto"/>
              </w:rPr>
              <w:t>該当なし</w:t>
            </w:r>
          </w:p>
        </w:tc>
        <w:tc>
          <w:tcPr>
            <w:tcW w:w="2409" w:type="dxa"/>
            <w:shd w:val="clear" w:color="auto" w:fill="auto"/>
            <w:vAlign w:val="top"/>
          </w:tcPr>
          <w:p>
            <w:pPr>
              <w:pStyle w:val="0"/>
              <w:widowControl w:val="1"/>
              <w:jc w:val="left"/>
              <w:rPr>
                <w:rFonts w:hint="default"/>
                <w:color w:val="auto"/>
                <w:sz w:val="14"/>
              </w:rPr>
            </w:pPr>
            <w:r>
              <w:rPr>
                <w:rFonts w:hint="eastAsia"/>
                <w:color w:val="auto"/>
                <w:sz w:val="14"/>
              </w:rPr>
              <w:t>主伐林齢：注３の表による</w:t>
            </w:r>
          </w:p>
          <w:p>
            <w:pPr>
              <w:pStyle w:val="0"/>
              <w:jc w:val="left"/>
              <w:rPr>
                <w:rFonts w:hint="default"/>
                <w:color w:val="auto"/>
                <w:sz w:val="14"/>
              </w:rPr>
            </w:pPr>
            <w:r>
              <w:rPr>
                <w:rFonts w:hint="eastAsia"/>
                <w:color w:val="auto"/>
                <w:sz w:val="14"/>
              </w:rPr>
              <w:t>皆伐面積：</w:t>
            </w:r>
            <w:r>
              <w:rPr>
                <w:rFonts w:hint="eastAsia"/>
                <w:color w:val="auto"/>
                <w:sz w:val="14"/>
              </w:rPr>
              <w:t>20ha</w:t>
            </w:r>
            <w:r>
              <w:rPr>
                <w:rFonts w:hint="eastAsia"/>
                <w:color w:val="auto"/>
                <w:sz w:val="14"/>
              </w:rPr>
              <w:t>以下</w:t>
            </w:r>
          </w:p>
        </w:tc>
      </w:tr>
      <w:tr>
        <w:trPr>
          <w:trHeight w:val="829" w:hRule="atLeast"/>
        </w:trPr>
        <w:tc>
          <w:tcPr>
            <w:tcW w:w="1271" w:type="dxa"/>
            <w:vMerge w:val="continue"/>
            <w:vAlign w:val="center"/>
          </w:tcPr>
          <w:p>
            <w:pPr>
              <w:pStyle w:val="0"/>
              <w:rPr>
                <w:rFonts w:hint="default"/>
                <w:sz w:val="14"/>
              </w:rPr>
            </w:pPr>
          </w:p>
        </w:tc>
        <w:tc>
          <w:tcPr>
            <w:tcW w:w="997" w:type="dxa"/>
            <w:vMerge w:val="continue"/>
            <w:vAlign w:val="center"/>
          </w:tcPr>
          <w:p>
            <w:pPr>
              <w:pStyle w:val="0"/>
              <w:jc w:val="left"/>
              <w:rPr>
                <w:rFonts w:hint="default"/>
                <w:sz w:val="14"/>
              </w:rPr>
            </w:pPr>
          </w:p>
        </w:tc>
        <w:tc>
          <w:tcPr>
            <w:tcW w:w="895" w:type="dxa"/>
            <w:vAlign w:val="center"/>
          </w:tcPr>
          <w:p>
            <w:pPr>
              <w:pStyle w:val="0"/>
              <w:jc w:val="left"/>
              <w:rPr>
                <w:rFonts w:hint="default"/>
                <w:color w:val="auto"/>
                <w:sz w:val="14"/>
              </w:rPr>
            </w:pPr>
            <w:r>
              <w:rPr>
                <w:rFonts w:hint="eastAsia"/>
                <w:color w:val="auto"/>
                <w:sz w:val="14"/>
              </w:rPr>
              <w:t>択伐による施業を推進すべき森林</w:t>
            </w:r>
          </w:p>
        </w:tc>
        <w:tc>
          <w:tcPr>
            <w:tcW w:w="4919" w:type="dxa"/>
            <w:gridSpan w:val="3"/>
            <w:vAlign w:val="center"/>
          </w:tcPr>
          <w:p>
            <w:pPr>
              <w:pStyle w:val="0"/>
              <w:jc w:val="left"/>
              <w:rPr>
                <w:rFonts w:hint="default"/>
                <w:color w:val="auto"/>
              </w:rPr>
            </w:pPr>
            <w:r>
              <w:rPr>
                <w:rFonts w:hint="eastAsia"/>
                <w:color w:val="auto"/>
              </w:rPr>
              <w:t>別表１の１</w:t>
            </w:r>
          </w:p>
          <w:p>
            <w:pPr>
              <w:pStyle w:val="0"/>
              <w:jc w:val="left"/>
              <w:rPr>
                <w:rFonts w:hint="default"/>
                <w:color w:val="auto"/>
              </w:rPr>
            </w:pPr>
            <w:r>
              <w:rPr>
                <w:rFonts w:hint="eastAsia"/>
                <w:color w:val="auto"/>
              </w:rPr>
              <w:t>保健・文化機能等維持林のとおり</w:t>
            </w:r>
          </w:p>
        </w:tc>
        <w:tc>
          <w:tcPr>
            <w:tcW w:w="2409" w:type="dxa"/>
            <w:shd w:val="clear" w:color="auto" w:fill="auto"/>
            <w:vAlign w:val="top"/>
          </w:tcPr>
          <w:p>
            <w:pPr>
              <w:pStyle w:val="0"/>
              <w:jc w:val="left"/>
              <w:rPr>
                <w:rFonts w:hint="default"/>
                <w:color w:val="auto"/>
                <w:sz w:val="14"/>
              </w:rPr>
            </w:pPr>
            <w:r>
              <w:rPr>
                <w:rFonts w:hint="eastAsia"/>
                <w:color w:val="auto"/>
                <w:sz w:val="14"/>
              </w:rPr>
              <w:t>主伐林齢：注３の表による</w:t>
            </w:r>
          </w:p>
          <w:p>
            <w:pPr>
              <w:pStyle w:val="0"/>
              <w:widowControl w:val="1"/>
              <w:jc w:val="left"/>
              <w:rPr>
                <w:rFonts w:hint="default"/>
                <w:color w:val="auto"/>
                <w:sz w:val="14"/>
              </w:rPr>
            </w:pPr>
            <w:r>
              <w:rPr>
                <w:rFonts w:hint="eastAsia"/>
                <w:color w:val="auto"/>
                <w:sz w:val="14"/>
              </w:rPr>
              <w:t>伐採率：</w:t>
            </w:r>
            <w:r>
              <w:rPr>
                <w:rFonts w:hint="eastAsia"/>
                <w:color w:val="auto"/>
                <w:sz w:val="14"/>
              </w:rPr>
              <w:t>30</w:t>
            </w:r>
            <w:r>
              <w:rPr>
                <w:rFonts w:hint="eastAsia"/>
                <w:color w:val="auto"/>
                <w:sz w:val="14"/>
              </w:rPr>
              <w:t>％以下又は</w:t>
            </w:r>
            <w:r>
              <w:rPr>
                <w:rFonts w:hint="eastAsia"/>
                <w:color w:val="auto"/>
                <w:sz w:val="14"/>
              </w:rPr>
              <w:t>40</w:t>
            </w:r>
            <w:r>
              <w:rPr>
                <w:rFonts w:hint="eastAsia"/>
                <w:color w:val="auto"/>
                <w:sz w:val="14"/>
              </w:rPr>
              <w:t>％以下</w:t>
            </w:r>
          </w:p>
          <w:p>
            <w:pPr>
              <w:pStyle w:val="0"/>
              <w:widowControl w:val="1"/>
              <w:ind w:left="560" w:hanging="560" w:hangingChars="400"/>
              <w:jc w:val="left"/>
              <w:rPr>
                <w:rFonts w:hint="default"/>
                <w:color w:val="auto"/>
                <w:sz w:val="14"/>
              </w:rPr>
            </w:pPr>
            <w:r>
              <w:rPr>
                <w:rFonts w:hint="eastAsia"/>
                <w:color w:val="auto"/>
                <w:sz w:val="14"/>
              </w:rPr>
              <w:t>その他：標準伐期齢時の立木材積の</w:t>
            </w:r>
            <w:r>
              <w:rPr>
                <w:rFonts w:hint="eastAsia"/>
                <w:color w:val="auto"/>
                <w:sz w:val="14"/>
              </w:rPr>
              <w:t>7/10</w:t>
            </w:r>
            <w:r>
              <w:rPr>
                <w:rFonts w:hint="eastAsia"/>
                <w:color w:val="auto"/>
                <w:sz w:val="14"/>
              </w:rPr>
              <w:t>以上を維持する</w:t>
            </w:r>
          </w:p>
        </w:tc>
      </w:tr>
      <w:tr>
        <w:trPr>
          <w:trHeight w:val="1110" w:hRule="atLeast"/>
        </w:trPr>
        <w:tc>
          <w:tcPr>
            <w:tcW w:w="1271" w:type="dxa"/>
            <w:vMerge w:val="continue"/>
            <w:vAlign w:val="top"/>
          </w:tcPr>
          <w:p>
            <w:pPr>
              <w:pStyle w:val="0"/>
              <w:rPr>
                <w:rFonts w:hint="default"/>
                <w:sz w:val="18"/>
              </w:rPr>
            </w:pPr>
          </w:p>
        </w:tc>
        <w:tc>
          <w:tcPr>
            <w:tcW w:w="997" w:type="dxa"/>
            <w:vMerge w:val="restart"/>
            <w:vAlign w:val="center"/>
          </w:tcPr>
          <w:p>
            <w:pPr>
              <w:pStyle w:val="0"/>
              <w:rPr>
                <w:rFonts w:hint="default"/>
                <w:color w:val="auto"/>
                <w:sz w:val="14"/>
              </w:rPr>
            </w:pPr>
            <w:r>
              <w:rPr>
                <w:rFonts w:hint="eastAsia"/>
                <w:color w:val="auto"/>
                <w:sz w:val="14"/>
              </w:rPr>
              <w:t>複層林施業を推進すべき森林</w:t>
            </w:r>
          </w:p>
        </w:tc>
        <w:tc>
          <w:tcPr>
            <w:tcW w:w="895" w:type="dxa"/>
            <w:vAlign w:val="top"/>
          </w:tcPr>
          <w:p>
            <w:pPr>
              <w:pStyle w:val="0"/>
              <w:rPr>
                <w:rFonts w:hint="default"/>
                <w:color w:val="auto"/>
                <w:sz w:val="14"/>
              </w:rPr>
            </w:pPr>
            <w:r>
              <w:rPr>
                <w:rFonts w:hint="eastAsia"/>
                <w:color w:val="auto"/>
                <w:sz w:val="14"/>
              </w:rPr>
              <w:t>複層林施業を推進すべき森林（択伐によるものを除く）</w:t>
            </w:r>
          </w:p>
        </w:tc>
        <w:tc>
          <w:tcPr>
            <w:tcW w:w="4919" w:type="dxa"/>
            <w:gridSpan w:val="3"/>
            <w:vAlign w:val="center"/>
          </w:tcPr>
          <w:p>
            <w:pPr>
              <w:pStyle w:val="0"/>
              <w:jc w:val="left"/>
              <w:rPr>
                <w:rFonts w:hint="default"/>
                <w:color w:val="auto"/>
              </w:rPr>
            </w:pPr>
            <w:r>
              <w:rPr>
                <w:rFonts w:hint="eastAsia"/>
                <w:color w:val="auto"/>
              </w:rPr>
              <w:t>該当なし</w:t>
            </w:r>
          </w:p>
        </w:tc>
        <w:tc>
          <w:tcPr>
            <w:tcW w:w="2409" w:type="dxa"/>
            <w:shd w:val="clear" w:color="auto" w:fill="auto"/>
            <w:vAlign w:val="top"/>
          </w:tcPr>
          <w:p>
            <w:pPr>
              <w:pStyle w:val="0"/>
              <w:widowControl w:val="1"/>
              <w:jc w:val="left"/>
              <w:rPr>
                <w:rFonts w:hint="default"/>
                <w:color w:val="auto"/>
                <w:sz w:val="14"/>
              </w:rPr>
            </w:pPr>
            <w:r>
              <w:rPr>
                <w:rFonts w:hint="eastAsia"/>
                <w:color w:val="auto"/>
                <w:sz w:val="14"/>
              </w:rPr>
              <w:t>主伐林齢：標準伐期齢以上</w:t>
            </w:r>
          </w:p>
          <w:p>
            <w:pPr>
              <w:pStyle w:val="0"/>
              <w:widowControl w:val="1"/>
              <w:jc w:val="left"/>
              <w:rPr>
                <w:rFonts w:hint="default"/>
                <w:color w:val="auto"/>
                <w:sz w:val="14"/>
              </w:rPr>
            </w:pPr>
            <w:r>
              <w:rPr>
                <w:rFonts w:hint="eastAsia"/>
                <w:color w:val="auto"/>
                <w:sz w:val="14"/>
              </w:rPr>
              <w:t>伐採率：</w:t>
            </w:r>
            <w:r>
              <w:rPr>
                <w:rFonts w:hint="eastAsia"/>
                <w:color w:val="auto"/>
                <w:sz w:val="14"/>
              </w:rPr>
              <w:t>70</w:t>
            </w:r>
            <w:r>
              <w:rPr>
                <w:rFonts w:hint="eastAsia"/>
                <w:color w:val="auto"/>
                <w:sz w:val="14"/>
              </w:rPr>
              <w:t>％以下</w:t>
            </w:r>
          </w:p>
          <w:p>
            <w:pPr>
              <w:pStyle w:val="0"/>
              <w:widowControl w:val="1"/>
              <w:ind w:left="560" w:hanging="560" w:hangingChars="400"/>
              <w:jc w:val="left"/>
              <w:rPr>
                <w:rFonts w:hint="default"/>
                <w:color w:val="auto"/>
                <w:sz w:val="14"/>
              </w:rPr>
            </w:pPr>
            <w:r>
              <w:rPr>
                <w:rFonts w:hint="eastAsia"/>
                <w:color w:val="auto"/>
                <w:sz w:val="14"/>
              </w:rPr>
              <w:t>その他：標準伐期齢時の立木材積の</w:t>
            </w:r>
            <w:r>
              <w:rPr>
                <w:rFonts w:hint="eastAsia"/>
                <w:color w:val="auto"/>
                <w:sz w:val="14"/>
              </w:rPr>
              <w:t>1/2</w:t>
            </w:r>
            <w:r>
              <w:rPr>
                <w:rFonts w:hint="eastAsia"/>
                <w:color w:val="auto"/>
                <w:sz w:val="14"/>
              </w:rPr>
              <w:t>以上を維持する</w:t>
            </w:r>
          </w:p>
        </w:tc>
      </w:tr>
      <w:tr>
        <w:trPr>
          <w:trHeight w:val="1065" w:hRule="atLeast"/>
        </w:trPr>
        <w:tc>
          <w:tcPr>
            <w:tcW w:w="1271" w:type="dxa"/>
            <w:vMerge w:val="continue"/>
            <w:vAlign w:val="top"/>
          </w:tcPr>
          <w:p>
            <w:pPr>
              <w:pStyle w:val="0"/>
              <w:rPr>
                <w:rFonts w:hint="default"/>
                <w:sz w:val="18"/>
              </w:rPr>
            </w:pPr>
          </w:p>
        </w:tc>
        <w:tc>
          <w:tcPr>
            <w:tcW w:w="997" w:type="dxa"/>
            <w:vMerge w:val="continue"/>
            <w:vAlign w:val="top"/>
          </w:tcPr>
          <w:p>
            <w:pPr>
              <w:pStyle w:val="0"/>
              <w:rPr>
                <w:rFonts w:hint="default"/>
                <w:sz w:val="14"/>
              </w:rPr>
            </w:pPr>
          </w:p>
        </w:tc>
        <w:tc>
          <w:tcPr>
            <w:tcW w:w="895" w:type="dxa"/>
            <w:vAlign w:val="center"/>
          </w:tcPr>
          <w:p>
            <w:pPr>
              <w:pStyle w:val="0"/>
              <w:rPr>
                <w:rFonts w:hint="default"/>
                <w:color w:val="auto"/>
                <w:sz w:val="14"/>
              </w:rPr>
            </w:pPr>
            <w:r>
              <w:rPr>
                <w:rFonts w:hint="eastAsia"/>
                <w:color w:val="auto"/>
                <w:sz w:val="14"/>
              </w:rPr>
              <w:t>択伐による複層林施業を推進すべき森林</w:t>
            </w:r>
          </w:p>
        </w:tc>
        <w:tc>
          <w:tcPr>
            <w:tcW w:w="4919" w:type="dxa"/>
            <w:gridSpan w:val="3"/>
            <w:vAlign w:val="center"/>
          </w:tcPr>
          <w:p>
            <w:pPr>
              <w:pStyle w:val="0"/>
              <w:jc w:val="left"/>
              <w:rPr>
                <w:rFonts w:hint="default"/>
                <w:color w:val="auto"/>
              </w:rPr>
            </w:pPr>
            <w:r>
              <w:rPr>
                <w:rFonts w:hint="eastAsia"/>
                <w:color w:val="auto"/>
              </w:rPr>
              <w:t>該当なし</w:t>
            </w:r>
          </w:p>
        </w:tc>
        <w:tc>
          <w:tcPr>
            <w:tcW w:w="2409" w:type="dxa"/>
            <w:shd w:val="clear" w:color="auto" w:fill="auto"/>
            <w:vAlign w:val="top"/>
          </w:tcPr>
          <w:p>
            <w:pPr>
              <w:pStyle w:val="0"/>
              <w:widowControl w:val="1"/>
              <w:jc w:val="left"/>
              <w:rPr>
                <w:rFonts w:hint="default"/>
                <w:color w:val="auto"/>
                <w:sz w:val="14"/>
              </w:rPr>
            </w:pPr>
            <w:r>
              <w:rPr>
                <w:rFonts w:hint="eastAsia"/>
                <w:color w:val="auto"/>
                <w:sz w:val="14"/>
              </w:rPr>
              <w:t>主伐林齢：標準伐期齢以上</w:t>
            </w:r>
          </w:p>
          <w:p>
            <w:pPr>
              <w:pStyle w:val="0"/>
              <w:widowControl w:val="1"/>
              <w:jc w:val="left"/>
              <w:rPr>
                <w:rFonts w:hint="default"/>
                <w:color w:val="auto"/>
                <w:sz w:val="14"/>
              </w:rPr>
            </w:pPr>
            <w:r>
              <w:rPr>
                <w:rFonts w:hint="eastAsia"/>
                <w:color w:val="auto"/>
                <w:sz w:val="14"/>
              </w:rPr>
              <w:t>伐採率：</w:t>
            </w:r>
            <w:r>
              <w:rPr>
                <w:rFonts w:hint="eastAsia"/>
                <w:color w:val="auto"/>
                <w:sz w:val="14"/>
              </w:rPr>
              <w:t>30</w:t>
            </w:r>
            <w:r>
              <w:rPr>
                <w:rFonts w:hint="eastAsia"/>
                <w:color w:val="auto"/>
                <w:sz w:val="14"/>
              </w:rPr>
              <w:t>％以下又は</w:t>
            </w:r>
            <w:r>
              <w:rPr>
                <w:rFonts w:hint="eastAsia"/>
                <w:color w:val="auto"/>
                <w:sz w:val="14"/>
              </w:rPr>
              <w:t>40</w:t>
            </w:r>
            <w:r>
              <w:rPr>
                <w:rFonts w:hint="eastAsia"/>
                <w:color w:val="auto"/>
                <w:sz w:val="14"/>
              </w:rPr>
              <w:t>％以下</w:t>
            </w:r>
          </w:p>
          <w:p>
            <w:pPr>
              <w:pStyle w:val="0"/>
              <w:widowControl w:val="1"/>
              <w:ind w:left="560" w:hanging="560" w:hangingChars="400"/>
              <w:jc w:val="left"/>
              <w:rPr>
                <w:rFonts w:hint="default"/>
                <w:color w:val="auto"/>
                <w:sz w:val="14"/>
              </w:rPr>
            </w:pPr>
            <w:r>
              <w:rPr>
                <w:rFonts w:hint="eastAsia"/>
                <w:color w:val="auto"/>
                <w:sz w:val="14"/>
              </w:rPr>
              <w:t>その他：標準伐期齢時の立木材積の</w:t>
            </w:r>
            <w:r>
              <w:rPr>
                <w:rFonts w:hint="eastAsia"/>
                <w:color w:val="auto"/>
                <w:sz w:val="14"/>
              </w:rPr>
              <w:t>7/10</w:t>
            </w:r>
            <w:r>
              <w:rPr>
                <w:rFonts w:hint="eastAsia"/>
                <w:color w:val="auto"/>
                <w:sz w:val="14"/>
              </w:rPr>
              <w:t>以上を維持する</w:t>
            </w:r>
          </w:p>
        </w:tc>
      </w:tr>
      <w:tr>
        <w:trPr>
          <w:trHeight w:val="697" w:hRule="atLeast"/>
        </w:trPr>
        <w:tc>
          <w:tcPr>
            <w:tcW w:w="1271" w:type="dxa"/>
            <w:vMerge w:val="continue"/>
            <w:vAlign w:val="top"/>
          </w:tcPr>
          <w:p>
            <w:pPr>
              <w:pStyle w:val="0"/>
              <w:rPr>
                <w:rFonts w:hint="default"/>
                <w:sz w:val="18"/>
              </w:rPr>
            </w:pPr>
          </w:p>
        </w:tc>
        <w:tc>
          <w:tcPr>
            <w:tcW w:w="1892" w:type="dxa"/>
            <w:gridSpan w:val="2"/>
            <w:vAlign w:val="center"/>
          </w:tcPr>
          <w:p>
            <w:pPr>
              <w:pStyle w:val="0"/>
              <w:rPr>
                <w:rFonts w:hint="default"/>
                <w:color w:val="auto"/>
                <w:sz w:val="14"/>
              </w:rPr>
            </w:pPr>
            <w:r>
              <w:rPr>
                <w:rFonts w:hint="eastAsia"/>
                <w:color w:val="auto"/>
                <w:sz w:val="14"/>
              </w:rPr>
              <w:t>特定広葉樹の育成を行う森林施業を推進すべき森林</w:t>
            </w:r>
          </w:p>
        </w:tc>
        <w:tc>
          <w:tcPr>
            <w:tcW w:w="4919" w:type="dxa"/>
            <w:gridSpan w:val="3"/>
            <w:vAlign w:val="center"/>
          </w:tcPr>
          <w:p>
            <w:pPr>
              <w:pStyle w:val="0"/>
              <w:jc w:val="left"/>
              <w:rPr>
                <w:rFonts w:hint="default"/>
                <w:color w:val="auto"/>
              </w:rPr>
            </w:pPr>
            <w:r>
              <w:rPr>
                <w:rFonts w:hint="eastAsia"/>
                <w:color w:val="auto"/>
              </w:rPr>
              <w:t>該当なし</w:t>
            </w:r>
          </w:p>
        </w:tc>
        <w:tc>
          <w:tcPr>
            <w:tcW w:w="2409" w:type="dxa"/>
            <w:shd w:val="clear" w:color="auto" w:fill="auto"/>
            <w:vAlign w:val="top"/>
          </w:tcPr>
          <w:p>
            <w:pPr>
              <w:pStyle w:val="0"/>
              <w:widowControl w:val="1"/>
              <w:jc w:val="left"/>
              <w:rPr>
                <w:rFonts w:hint="default"/>
                <w:color w:val="auto"/>
                <w:sz w:val="14"/>
              </w:rPr>
            </w:pPr>
            <w:r>
              <w:rPr>
                <w:rFonts w:hint="eastAsia"/>
                <w:color w:val="auto"/>
                <w:sz w:val="14"/>
              </w:rPr>
              <w:t>特定広葉樹について、標準伐期齢時の立木材積を維持する</w:t>
            </w:r>
          </w:p>
        </w:tc>
      </w:tr>
    </w:tbl>
    <w:p>
      <w:pPr>
        <w:pStyle w:val="0"/>
        <w:rPr>
          <w:rFonts w:hint="default"/>
          <w:color w:val="auto"/>
        </w:rPr>
      </w:pPr>
    </w:p>
    <w:p>
      <w:pPr>
        <w:pStyle w:val="0"/>
        <w:rPr>
          <w:rFonts w:hint="default"/>
          <w:color w:val="auto"/>
        </w:rPr>
      </w:pPr>
      <w:r>
        <w:rPr>
          <w:rFonts w:hint="eastAsia"/>
          <w:color w:val="auto"/>
        </w:rPr>
        <w:t>【道有林】</w:t>
      </w:r>
    </w:p>
    <w:p>
      <w:pPr>
        <w:pStyle w:val="0"/>
        <w:rPr>
          <w:rFonts w:hint="default"/>
          <w:color w:val="auto"/>
        </w:rPr>
      </w:pPr>
      <w:r>
        <w:rPr>
          <w:rFonts w:hint="eastAsia"/>
          <w:color w:val="auto"/>
        </w:rPr>
        <w:t>　　該当なし</w:t>
      </w:r>
    </w:p>
    <w:p>
      <w:pPr>
        <w:pStyle w:val="0"/>
        <w:rPr>
          <w:rFonts w:hint="default"/>
          <w:color w:val="auto"/>
        </w:rPr>
      </w:pPr>
    </w:p>
    <w:p>
      <w:pPr>
        <w:pStyle w:val="0"/>
        <w:rPr>
          <w:rFonts w:hint="default"/>
          <w:color w:val="auto"/>
        </w:rPr>
      </w:pPr>
      <w:r>
        <w:rPr>
          <w:rFonts w:hint="eastAsia"/>
          <w:color w:val="auto"/>
        </w:rPr>
        <w:t>（注１）　森林経営計画を作成して施業を行う場合、本表の区分毎の具体的な施業方法については注２、</w:t>
      </w:r>
    </w:p>
    <w:p>
      <w:pPr>
        <w:pStyle w:val="0"/>
        <w:ind w:left="840" w:leftChars="400"/>
        <w:rPr>
          <w:rFonts w:hint="default"/>
          <w:color w:val="auto"/>
        </w:rPr>
      </w:pPr>
      <w:r>
        <w:rPr>
          <w:rFonts w:hint="eastAsia"/>
          <w:color w:val="auto"/>
        </w:rPr>
        <w:t>注３に定める方法のほか、農林水産省令（森林法施行規則）で定められる実施基準に適合した方法とする必要があります。</w:t>
      </w:r>
    </w:p>
    <w:p>
      <w:pPr>
        <w:pStyle w:val="0"/>
        <w:rPr>
          <w:rFonts w:hint="default"/>
          <w:color w:val="auto"/>
        </w:rPr>
      </w:pPr>
      <w:r>
        <w:rPr>
          <w:rFonts w:hint="eastAsia"/>
          <w:color w:val="auto"/>
        </w:rPr>
        <w:t>（注２）　「伐採面積の規模の縮小を行うべき森林」では、森林経営計画の実施基準として、皆伐の１</w:t>
      </w:r>
    </w:p>
    <w:p>
      <w:pPr>
        <w:pStyle w:val="0"/>
        <w:ind w:firstLine="840" w:firstLineChars="400"/>
        <w:rPr>
          <w:rFonts w:hint="default"/>
          <w:color w:val="auto"/>
        </w:rPr>
      </w:pPr>
      <w:r>
        <w:rPr>
          <w:rFonts w:hint="eastAsia"/>
          <w:color w:val="auto"/>
        </w:rPr>
        <w:t>伐区あたりの伐採面積は１０</w:t>
      </w:r>
      <w:r>
        <w:rPr>
          <w:rFonts w:hint="eastAsia"/>
          <w:color w:val="auto"/>
        </w:rPr>
        <w:t>ha</w:t>
      </w:r>
      <w:r>
        <w:rPr>
          <w:rFonts w:hint="eastAsia"/>
          <w:color w:val="auto"/>
        </w:rPr>
        <w:t>以下とする必要があります。</w:t>
      </w:r>
    </w:p>
    <w:p>
      <w:pPr>
        <w:pStyle w:val="0"/>
        <w:rPr>
          <w:rFonts w:hint="default"/>
          <w:color w:val="auto"/>
        </w:rPr>
      </w:pPr>
      <w:r>
        <w:rPr>
          <w:rFonts w:hint="eastAsia"/>
          <w:color w:val="auto"/>
        </w:rPr>
        <w:t>（注３）　「長伐期施業を推進すべき森林」では、森林経営計画の実施基準として、主伐可能な林齢を</w:t>
      </w:r>
    </w:p>
    <w:p>
      <w:pPr>
        <w:pStyle w:val="0"/>
        <w:ind w:firstLine="840" w:firstLineChars="400"/>
        <w:rPr>
          <w:rFonts w:hint="default"/>
          <w:color w:val="auto"/>
        </w:rPr>
      </w:pPr>
      <w:r>
        <w:rPr>
          <w:rFonts w:hint="eastAsia"/>
          <w:color w:val="auto"/>
        </w:rPr>
        <w:t>次のとおりとする必要があります。</w:t>
      </w:r>
    </w:p>
    <w:tbl>
      <w:tblPr>
        <w:tblStyle w:val="11"/>
        <w:tblW w:w="8124" w:type="dxa"/>
        <w:tblInd w:w="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28"/>
        <w:gridCol w:w="5135"/>
        <w:gridCol w:w="1861"/>
      </w:tblGrid>
      <w:tr>
        <w:trPr>
          <w:trHeight w:val="357" w:hRule="atLeast"/>
        </w:trPr>
        <w:tc>
          <w:tcPr>
            <w:tcW w:w="1128" w:type="dxa"/>
            <w:vAlign w:val="center"/>
          </w:tcPr>
          <w:p>
            <w:pPr>
              <w:pStyle w:val="0"/>
              <w:jc w:val="center"/>
              <w:rPr>
                <w:rFonts w:hint="default"/>
                <w:color w:val="auto"/>
              </w:rPr>
            </w:pPr>
          </w:p>
        </w:tc>
        <w:tc>
          <w:tcPr>
            <w:tcW w:w="5135" w:type="dxa"/>
            <w:vAlign w:val="center"/>
          </w:tcPr>
          <w:p>
            <w:pPr>
              <w:pStyle w:val="0"/>
              <w:jc w:val="center"/>
              <w:rPr>
                <w:rFonts w:hint="default"/>
                <w:color w:val="auto"/>
              </w:rPr>
            </w:pPr>
            <w:r>
              <w:rPr>
                <w:rFonts w:hint="eastAsia"/>
                <w:color w:val="auto"/>
              </w:rPr>
              <w:t>樹種</w:t>
            </w:r>
          </w:p>
        </w:tc>
        <w:tc>
          <w:tcPr>
            <w:tcW w:w="1861" w:type="dxa"/>
            <w:vAlign w:val="center"/>
          </w:tcPr>
          <w:p>
            <w:pPr>
              <w:pStyle w:val="0"/>
              <w:jc w:val="center"/>
              <w:rPr>
                <w:rFonts w:hint="default"/>
                <w:color w:val="auto"/>
              </w:rPr>
            </w:pPr>
            <w:r>
              <w:rPr>
                <w:rFonts w:hint="eastAsia"/>
                <w:color w:val="auto"/>
              </w:rPr>
              <w:t>主伐可能な林齢</w:t>
            </w:r>
          </w:p>
        </w:tc>
      </w:tr>
      <w:tr>
        <w:trPr>
          <w:trHeight w:val="357" w:hRule="atLeast"/>
        </w:trPr>
        <w:tc>
          <w:tcPr>
            <w:tcW w:w="1128" w:type="dxa"/>
            <w:vMerge w:val="restart"/>
            <w:vAlign w:val="top"/>
          </w:tcPr>
          <w:p>
            <w:pPr>
              <w:pStyle w:val="0"/>
              <w:jc w:val="center"/>
              <w:rPr>
                <w:rFonts w:hint="default"/>
                <w:color w:val="auto"/>
              </w:rPr>
            </w:pPr>
            <w:r>
              <w:rPr>
                <w:rFonts w:hint="eastAsia"/>
                <w:color w:val="auto"/>
              </w:rPr>
              <w:t>人工林</w:t>
            </w:r>
          </w:p>
        </w:tc>
        <w:tc>
          <w:tcPr>
            <w:tcW w:w="5135" w:type="dxa"/>
            <w:vAlign w:val="center"/>
          </w:tcPr>
          <w:p>
            <w:pPr>
              <w:pStyle w:val="0"/>
              <w:rPr>
                <w:rFonts w:hint="default"/>
                <w:color w:val="auto"/>
              </w:rPr>
            </w:pPr>
            <w:r>
              <w:rPr>
                <w:rFonts w:hint="eastAsia"/>
                <w:color w:val="auto"/>
              </w:rPr>
              <w:t>エゾマツ・アカエゾマツ</w:t>
            </w:r>
          </w:p>
        </w:tc>
        <w:tc>
          <w:tcPr>
            <w:tcW w:w="1861" w:type="dxa"/>
            <w:vAlign w:val="center"/>
          </w:tcPr>
          <w:p>
            <w:pPr>
              <w:pStyle w:val="0"/>
              <w:jc w:val="center"/>
              <w:rPr>
                <w:rFonts w:hint="default"/>
                <w:color w:val="auto"/>
              </w:rPr>
            </w:pPr>
            <w:r>
              <w:rPr>
                <w:rFonts w:hint="eastAsia"/>
                <w:color w:val="auto"/>
              </w:rPr>
              <w:t>96</w:t>
            </w:r>
            <w:r>
              <w:rPr>
                <w:rFonts w:hint="eastAsia"/>
                <w:color w:val="auto"/>
              </w:rPr>
              <w:t>年以上</w:t>
            </w:r>
          </w:p>
        </w:tc>
      </w:tr>
      <w:tr>
        <w:trPr>
          <w:trHeight w:val="357" w:hRule="atLeast"/>
        </w:trPr>
        <w:tc>
          <w:tcPr>
            <w:tcW w:w="1128" w:type="dxa"/>
            <w:vMerge w:val="continue"/>
            <w:vAlign w:val="top"/>
          </w:tcPr>
          <w:p>
            <w:pPr>
              <w:pStyle w:val="0"/>
              <w:jc w:val="center"/>
              <w:rPr>
                <w:rFonts w:hint="default"/>
              </w:rPr>
            </w:pPr>
          </w:p>
        </w:tc>
        <w:tc>
          <w:tcPr>
            <w:tcW w:w="5135" w:type="dxa"/>
            <w:vAlign w:val="center"/>
          </w:tcPr>
          <w:p>
            <w:pPr>
              <w:pStyle w:val="0"/>
              <w:rPr>
                <w:rFonts w:hint="default"/>
                <w:color w:val="auto"/>
              </w:rPr>
            </w:pPr>
            <w:r>
              <w:rPr>
                <w:rFonts w:hint="eastAsia"/>
                <w:color w:val="auto"/>
              </w:rPr>
              <w:t>トドマツ</w:t>
            </w:r>
          </w:p>
        </w:tc>
        <w:tc>
          <w:tcPr>
            <w:tcW w:w="1861" w:type="dxa"/>
            <w:vAlign w:val="center"/>
          </w:tcPr>
          <w:p>
            <w:pPr>
              <w:pStyle w:val="0"/>
              <w:jc w:val="center"/>
              <w:rPr>
                <w:rFonts w:hint="default"/>
                <w:color w:val="auto"/>
              </w:rPr>
            </w:pPr>
            <w:r>
              <w:rPr>
                <w:rFonts w:hint="eastAsia"/>
                <w:color w:val="auto"/>
              </w:rPr>
              <w:t>64</w:t>
            </w:r>
            <w:r>
              <w:rPr>
                <w:rFonts w:hint="eastAsia"/>
                <w:color w:val="auto"/>
              </w:rPr>
              <w:t>年以上</w:t>
            </w:r>
          </w:p>
        </w:tc>
      </w:tr>
      <w:tr>
        <w:trPr>
          <w:trHeight w:val="357" w:hRule="atLeast"/>
        </w:trPr>
        <w:tc>
          <w:tcPr>
            <w:tcW w:w="1128" w:type="dxa"/>
            <w:vMerge w:val="continue"/>
            <w:vAlign w:val="top"/>
          </w:tcPr>
          <w:p>
            <w:pPr>
              <w:pStyle w:val="0"/>
              <w:jc w:val="center"/>
              <w:rPr>
                <w:rFonts w:hint="default"/>
              </w:rPr>
            </w:pPr>
          </w:p>
        </w:tc>
        <w:tc>
          <w:tcPr>
            <w:tcW w:w="5135" w:type="dxa"/>
            <w:vAlign w:val="center"/>
          </w:tcPr>
          <w:p>
            <w:pPr>
              <w:pStyle w:val="0"/>
              <w:rPr>
                <w:rFonts w:hint="default"/>
                <w:color w:val="auto"/>
              </w:rPr>
            </w:pPr>
            <w:r>
              <w:rPr>
                <w:rFonts w:hint="eastAsia"/>
                <w:color w:val="auto"/>
              </w:rPr>
              <w:t>カラマツ（グイマツとの交配種を含む）</w:t>
            </w:r>
          </w:p>
        </w:tc>
        <w:tc>
          <w:tcPr>
            <w:tcW w:w="1861" w:type="dxa"/>
            <w:vAlign w:val="center"/>
          </w:tcPr>
          <w:p>
            <w:pPr>
              <w:pStyle w:val="0"/>
              <w:jc w:val="center"/>
              <w:rPr>
                <w:rFonts w:hint="default"/>
                <w:color w:val="auto"/>
              </w:rPr>
            </w:pPr>
            <w:r>
              <w:rPr>
                <w:rFonts w:hint="eastAsia"/>
                <w:color w:val="auto"/>
              </w:rPr>
              <w:t>48</w:t>
            </w:r>
            <w:r>
              <w:rPr>
                <w:rFonts w:hint="eastAsia"/>
                <w:color w:val="auto"/>
              </w:rPr>
              <w:t>年以上</w:t>
            </w:r>
          </w:p>
        </w:tc>
      </w:tr>
      <w:tr>
        <w:trPr>
          <w:trHeight w:val="357" w:hRule="atLeast"/>
        </w:trPr>
        <w:tc>
          <w:tcPr>
            <w:tcW w:w="1128" w:type="dxa"/>
            <w:vMerge w:val="continue"/>
            <w:vAlign w:val="top"/>
          </w:tcPr>
          <w:p>
            <w:pPr>
              <w:pStyle w:val="0"/>
              <w:jc w:val="center"/>
              <w:rPr>
                <w:rFonts w:hint="default"/>
              </w:rPr>
            </w:pPr>
          </w:p>
        </w:tc>
        <w:tc>
          <w:tcPr>
            <w:tcW w:w="5135" w:type="dxa"/>
            <w:vAlign w:val="center"/>
          </w:tcPr>
          <w:p>
            <w:pPr>
              <w:pStyle w:val="0"/>
              <w:rPr>
                <w:rFonts w:hint="default"/>
                <w:color w:val="auto"/>
              </w:rPr>
            </w:pPr>
            <w:r>
              <w:rPr>
                <w:rFonts w:hint="eastAsia"/>
                <w:color w:val="auto"/>
              </w:rPr>
              <w:t>その他針葉樹</w:t>
            </w:r>
          </w:p>
        </w:tc>
        <w:tc>
          <w:tcPr>
            <w:tcW w:w="1861" w:type="dxa"/>
            <w:vAlign w:val="center"/>
          </w:tcPr>
          <w:p>
            <w:pPr>
              <w:pStyle w:val="0"/>
              <w:jc w:val="center"/>
              <w:rPr>
                <w:rFonts w:hint="default"/>
                <w:color w:val="auto"/>
              </w:rPr>
            </w:pPr>
            <w:r>
              <w:rPr>
                <w:rFonts w:hint="eastAsia"/>
                <w:color w:val="auto"/>
              </w:rPr>
              <w:t>64</w:t>
            </w:r>
            <w:r>
              <w:rPr>
                <w:rFonts w:hint="eastAsia"/>
                <w:color w:val="auto"/>
              </w:rPr>
              <w:t>年以上</w:t>
            </w:r>
          </w:p>
        </w:tc>
      </w:tr>
      <w:tr>
        <w:trPr>
          <w:trHeight w:val="357" w:hRule="atLeast"/>
        </w:trPr>
        <w:tc>
          <w:tcPr>
            <w:tcW w:w="1128" w:type="dxa"/>
            <w:vMerge w:val="continue"/>
            <w:vAlign w:val="top"/>
          </w:tcPr>
          <w:p>
            <w:pPr>
              <w:pStyle w:val="0"/>
              <w:rPr>
                <w:rFonts w:hint="default"/>
              </w:rPr>
            </w:pPr>
          </w:p>
        </w:tc>
        <w:tc>
          <w:tcPr>
            <w:tcW w:w="5135" w:type="dxa"/>
            <w:vAlign w:val="center"/>
          </w:tcPr>
          <w:p>
            <w:pPr>
              <w:pStyle w:val="0"/>
              <w:rPr>
                <w:rFonts w:hint="default"/>
                <w:color w:val="auto"/>
              </w:rPr>
            </w:pPr>
            <w:r>
              <w:rPr>
                <w:rFonts w:hint="eastAsia"/>
                <w:color w:val="auto"/>
              </w:rPr>
              <w:t>カンバ・ドロノキ・ハンノキ（天然林を含む）</w:t>
            </w:r>
          </w:p>
        </w:tc>
        <w:tc>
          <w:tcPr>
            <w:tcW w:w="1861" w:type="dxa"/>
            <w:vAlign w:val="center"/>
          </w:tcPr>
          <w:p>
            <w:pPr>
              <w:pStyle w:val="0"/>
              <w:jc w:val="center"/>
              <w:rPr>
                <w:rFonts w:hint="default"/>
                <w:color w:val="auto"/>
              </w:rPr>
            </w:pPr>
            <w:r>
              <w:rPr>
                <w:rFonts w:hint="eastAsia"/>
                <w:color w:val="auto"/>
              </w:rPr>
              <w:t>48</w:t>
            </w:r>
            <w:r>
              <w:rPr>
                <w:rFonts w:hint="eastAsia"/>
                <w:color w:val="auto"/>
              </w:rPr>
              <w:t>年以上</w:t>
            </w:r>
          </w:p>
        </w:tc>
      </w:tr>
      <w:tr>
        <w:trPr>
          <w:trHeight w:val="357" w:hRule="atLeast"/>
        </w:trPr>
        <w:tc>
          <w:tcPr>
            <w:tcW w:w="1128" w:type="dxa"/>
            <w:vMerge w:val="continue"/>
            <w:vAlign w:val="top"/>
          </w:tcPr>
          <w:p>
            <w:pPr>
              <w:pStyle w:val="0"/>
              <w:rPr>
                <w:rFonts w:hint="default"/>
              </w:rPr>
            </w:pPr>
          </w:p>
        </w:tc>
        <w:tc>
          <w:tcPr>
            <w:tcW w:w="5135" w:type="dxa"/>
            <w:vAlign w:val="center"/>
          </w:tcPr>
          <w:p>
            <w:pPr>
              <w:pStyle w:val="0"/>
              <w:rPr>
                <w:rFonts w:hint="default"/>
                <w:color w:val="auto"/>
              </w:rPr>
            </w:pPr>
            <w:r>
              <w:rPr>
                <w:rFonts w:hint="eastAsia"/>
                <w:color w:val="auto"/>
              </w:rPr>
              <w:t>その他広葉樹</w:t>
            </w:r>
          </w:p>
        </w:tc>
        <w:tc>
          <w:tcPr>
            <w:tcW w:w="1861" w:type="dxa"/>
            <w:vAlign w:val="center"/>
          </w:tcPr>
          <w:p>
            <w:pPr>
              <w:pStyle w:val="0"/>
              <w:jc w:val="center"/>
              <w:rPr>
                <w:rFonts w:hint="default"/>
                <w:color w:val="auto"/>
              </w:rPr>
            </w:pPr>
            <w:r>
              <w:rPr>
                <w:rFonts w:hint="eastAsia"/>
                <w:color w:val="auto"/>
              </w:rPr>
              <w:t>64</w:t>
            </w:r>
            <w:r>
              <w:rPr>
                <w:rFonts w:hint="eastAsia"/>
                <w:color w:val="auto"/>
              </w:rPr>
              <w:t>年以上</w:t>
            </w:r>
          </w:p>
        </w:tc>
      </w:tr>
      <w:tr>
        <w:trPr>
          <w:trHeight w:val="357" w:hRule="atLeast"/>
        </w:trPr>
        <w:tc>
          <w:tcPr>
            <w:tcW w:w="1128" w:type="dxa"/>
            <w:vMerge w:val="restart"/>
            <w:vAlign w:val="top"/>
          </w:tcPr>
          <w:p>
            <w:pPr>
              <w:pStyle w:val="0"/>
              <w:jc w:val="center"/>
              <w:rPr>
                <w:rFonts w:hint="default"/>
                <w:color w:val="auto"/>
              </w:rPr>
            </w:pPr>
            <w:r>
              <w:rPr>
                <w:rFonts w:hint="eastAsia"/>
                <w:color w:val="auto"/>
              </w:rPr>
              <w:t>天然林</w:t>
            </w:r>
          </w:p>
        </w:tc>
        <w:tc>
          <w:tcPr>
            <w:tcW w:w="5135" w:type="dxa"/>
            <w:vAlign w:val="center"/>
          </w:tcPr>
          <w:p>
            <w:pPr>
              <w:pStyle w:val="0"/>
              <w:rPr>
                <w:rFonts w:hint="default"/>
                <w:color w:val="auto"/>
              </w:rPr>
            </w:pPr>
            <w:r>
              <w:rPr>
                <w:rFonts w:hint="eastAsia"/>
                <w:color w:val="auto"/>
              </w:rPr>
              <w:t>主として天然下種によって生立する針葉樹</w:t>
            </w:r>
          </w:p>
        </w:tc>
        <w:tc>
          <w:tcPr>
            <w:tcW w:w="1861" w:type="dxa"/>
            <w:vAlign w:val="center"/>
          </w:tcPr>
          <w:p>
            <w:pPr>
              <w:pStyle w:val="0"/>
              <w:jc w:val="center"/>
              <w:rPr>
                <w:rFonts w:hint="default"/>
                <w:color w:val="auto"/>
              </w:rPr>
            </w:pPr>
            <w:r>
              <w:rPr>
                <w:rFonts w:hint="eastAsia"/>
                <w:color w:val="auto"/>
              </w:rPr>
              <w:t>96</w:t>
            </w:r>
            <w:r>
              <w:rPr>
                <w:rFonts w:hint="eastAsia"/>
                <w:color w:val="auto"/>
              </w:rPr>
              <w:t>年以上</w:t>
            </w:r>
          </w:p>
        </w:tc>
      </w:tr>
      <w:tr>
        <w:trPr>
          <w:trHeight w:val="357" w:hRule="atLeast"/>
        </w:trPr>
        <w:tc>
          <w:tcPr>
            <w:tcW w:w="1128" w:type="dxa"/>
            <w:vMerge w:val="continue"/>
            <w:vAlign w:val="top"/>
          </w:tcPr>
          <w:p>
            <w:pPr>
              <w:pStyle w:val="0"/>
              <w:rPr>
                <w:rFonts w:hint="default"/>
              </w:rPr>
            </w:pPr>
          </w:p>
        </w:tc>
        <w:tc>
          <w:tcPr>
            <w:tcW w:w="5135" w:type="dxa"/>
            <w:vAlign w:val="center"/>
          </w:tcPr>
          <w:p>
            <w:pPr>
              <w:pStyle w:val="0"/>
              <w:widowControl w:val="1"/>
              <w:rPr>
                <w:rFonts w:hint="default"/>
                <w:color w:val="auto"/>
              </w:rPr>
            </w:pPr>
            <w:r>
              <w:rPr>
                <w:rFonts w:hint="eastAsia"/>
                <w:color w:val="auto"/>
              </w:rPr>
              <w:t>主として天然下種によって生立する広葉樹</w:t>
            </w:r>
          </w:p>
        </w:tc>
        <w:tc>
          <w:tcPr>
            <w:tcW w:w="1861" w:type="dxa"/>
            <w:vAlign w:val="center"/>
          </w:tcPr>
          <w:p>
            <w:pPr>
              <w:pStyle w:val="0"/>
              <w:jc w:val="center"/>
              <w:rPr>
                <w:rFonts w:hint="default"/>
                <w:color w:val="auto"/>
              </w:rPr>
            </w:pPr>
            <w:r>
              <w:rPr>
                <w:rFonts w:hint="eastAsia"/>
                <w:color w:val="auto"/>
              </w:rPr>
              <w:t>128</w:t>
            </w:r>
            <w:r>
              <w:rPr>
                <w:rFonts w:hint="eastAsia"/>
                <w:color w:val="auto"/>
              </w:rPr>
              <w:t>年以上</w:t>
            </w:r>
          </w:p>
        </w:tc>
      </w:tr>
    </w:tbl>
    <w:p>
      <w:pPr>
        <w:pStyle w:val="0"/>
        <w:rPr>
          <w:rFonts w:hint="default"/>
          <w:color w:val="auto"/>
        </w:rPr>
      </w:pPr>
      <w:r>
        <w:rPr>
          <w:rFonts w:hint="eastAsia"/>
          <w:color w:val="auto"/>
        </w:rPr>
        <w:t>（注４）更別村独自ゾーニングの「伐期の延長を推進すべき森林」では、防風保安林の適切な管理、更新を図るため主伐林齢を標準伐期齢＋５年と定める。</w:t>
      </w:r>
    </w:p>
    <w:p>
      <w:pPr>
        <w:pStyle w:val="0"/>
        <w:rPr>
          <w:rFonts w:hint="default" w:ascii="ＭＳ 明朝" w:hAnsi="ＭＳ 明朝"/>
          <w:color w:val="auto"/>
        </w:rPr>
      </w:pPr>
      <w:r>
        <w:rPr>
          <w:rFonts w:hint="eastAsia"/>
        </w:rPr>
        <w:drawing>
          <wp:inline distT="0" distB="0" distL="203200" distR="203200">
            <wp:extent cx="6408420" cy="767207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5"/>
                    <a:stretch>
                      <a:fillRect/>
                    </a:stretch>
                  </pic:blipFill>
                  <pic:spPr>
                    <a:xfrm>
                      <a:off x="0" y="0"/>
                      <a:ext cx="6408420" cy="7672070"/>
                    </a:xfrm>
                    <a:prstGeom prst="rect">
                      <a:avLst/>
                    </a:prstGeom>
                  </pic:spPr>
                </pic:pic>
              </a:graphicData>
            </a:graphic>
          </wp:inline>
        </w:drawing>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rPr>
        <w:drawing>
          <wp:inline distT="0" distB="0" distL="203200" distR="203200">
            <wp:extent cx="6408420" cy="238379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6"/>
                    <a:stretch>
                      <a:fillRect/>
                    </a:stretch>
                  </pic:blipFill>
                  <pic:spPr>
                    <a:xfrm>
                      <a:off x="0" y="0"/>
                      <a:ext cx="6408420" cy="2383790"/>
                    </a:xfrm>
                    <a:prstGeom prst="rect">
                      <a:avLst/>
                    </a:prstGeom>
                  </pic:spPr>
                </pic:pic>
              </a:graphicData>
            </a:graphic>
          </wp:inline>
        </w:drawing>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sectPr>
      <w:footerReference r:id="rId9" w:type="even"/>
      <w:footerReference r:id="rId10" w:type="default"/>
      <w:footerReference r:id="rId8" w:type="first"/>
      <w:pgSz w:w="11906" w:h="16838"/>
      <w:pgMar w:top="850" w:right="907" w:bottom="850" w:left="907" w:header="720" w:footer="283" w:gutter="0"/>
      <w:pgNumType w:fmt="numberInDash" w:start="1"/>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997136123"/>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- 6 -</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7D4004C"/>
    <w:lvl w:ilvl="0" w:tplc="433A7FE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00000002"/>
    <w:multiLevelType w:val="hybridMultilevel"/>
    <w:tmpl w:val="6BA292E4"/>
    <w:lvl w:ilvl="0" w:tplc="225439B6">
      <w:start w:val="2"/>
      <w:numFmt w:val="decimalFullWidth"/>
      <w:lvlText w:val="（注%1）"/>
      <w:lvlJc w:val="left"/>
      <w:pPr>
        <w:tabs>
          <w:tab w:val="num" w:leader="none" w:pos="1710"/>
        </w:tabs>
        <w:ind w:left="1710" w:hanging="1080"/>
      </w:pPr>
      <w:rPr>
        <w:rFonts w:hint="default"/>
      </w:rPr>
    </w:lvl>
    <w:lvl w:ilvl="1" w:tplc="04090017">
      <w:start w:val="1"/>
      <w:numFmt w:val="aiueoFullWidth"/>
      <w:lvlText w:val="(%2)"/>
      <w:lvlJc w:val="left"/>
      <w:pPr>
        <w:tabs>
          <w:tab w:val="num" w:leader="none" w:pos="1470"/>
        </w:tabs>
        <w:ind w:left="1470" w:hanging="420"/>
      </w:pPr>
    </w:lvl>
    <w:lvl w:ilvl="2" w:tplc="04090011">
      <w:start w:val="1"/>
      <w:numFmt w:val="decimalEnclosedCircle"/>
      <w:lvlText w:val="%3"/>
      <w:lvlJc w:val="left"/>
      <w:pPr>
        <w:tabs>
          <w:tab w:val="num" w:leader="none" w:pos="1890"/>
        </w:tabs>
        <w:ind w:left="1890" w:hanging="420"/>
      </w:pPr>
    </w:lvl>
    <w:lvl w:ilvl="3" w:tplc="0409000F">
      <w:start w:val="1"/>
      <w:numFmt w:val="decimal"/>
      <w:lvlText w:val="%4."/>
      <w:lvlJc w:val="left"/>
      <w:pPr>
        <w:tabs>
          <w:tab w:val="num" w:leader="none" w:pos="2310"/>
        </w:tabs>
        <w:ind w:left="2310" w:hanging="420"/>
      </w:pPr>
    </w:lvl>
    <w:lvl w:ilvl="4" w:tplc="04090017">
      <w:start w:val="1"/>
      <w:numFmt w:val="aiueoFullWidth"/>
      <w:lvlText w:val="(%5)"/>
      <w:lvlJc w:val="left"/>
      <w:pPr>
        <w:tabs>
          <w:tab w:val="num" w:leader="none" w:pos="2730"/>
        </w:tabs>
        <w:ind w:left="2730" w:hanging="420"/>
      </w:pPr>
    </w:lvl>
    <w:lvl w:ilvl="5" w:tplc="04090011">
      <w:start w:val="1"/>
      <w:numFmt w:val="decimalEnclosedCircle"/>
      <w:lvlText w:val="%6"/>
      <w:lvlJc w:val="left"/>
      <w:pPr>
        <w:tabs>
          <w:tab w:val="num" w:leader="none" w:pos="3150"/>
        </w:tabs>
        <w:ind w:left="3150" w:hanging="420"/>
      </w:pPr>
    </w:lvl>
    <w:lvl w:ilvl="6" w:tplc="0409000F">
      <w:start w:val="1"/>
      <w:numFmt w:val="decimal"/>
      <w:lvlText w:val="%7."/>
      <w:lvlJc w:val="left"/>
      <w:pPr>
        <w:tabs>
          <w:tab w:val="num" w:leader="none" w:pos="3570"/>
        </w:tabs>
        <w:ind w:left="3570" w:hanging="420"/>
      </w:pPr>
    </w:lvl>
    <w:lvl w:ilvl="7" w:tplc="04090017">
      <w:start w:val="1"/>
      <w:numFmt w:val="aiueoFullWidth"/>
      <w:lvlText w:val="(%8)"/>
      <w:lvlJc w:val="left"/>
      <w:pPr>
        <w:tabs>
          <w:tab w:val="num" w:leader="none" w:pos="3990"/>
        </w:tabs>
        <w:ind w:left="3990" w:hanging="420"/>
      </w:pPr>
    </w:lvl>
    <w:lvl w:ilvl="8" w:tplc="04090011">
      <w:start w:val="1"/>
      <w:numFmt w:val="decimalEnclosedCircle"/>
      <w:lvlText w:val="%9"/>
      <w:lvlJc w:val="left"/>
      <w:pPr>
        <w:tabs>
          <w:tab w:val="num" w:leader="none" w:pos="4410"/>
        </w:tabs>
        <w:ind w:left="441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51" w:lineRule="exact"/>
      <w:jc w:val="both"/>
    </w:pPr>
    <w:rPr>
      <w:rFonts w:ascii="Times New Roman" w:hAnsi="Times New Roman" w:eastAsia="HG丸ｺﾞｼｯｸM-PRO"/>
      <w:spacing w:val="3"/>
      <w:sz w:val="22"/>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List Paragraph"/>
    <w:basedOn w:val="0"/>
    <w:next w:val="22"/>
    <w:link w:val="0"/>
    <w:uiPriority w:val="0"/>
    <w:qFormat/>
    <w:pPr>
      <w:ind w:left="840" w:leftChars="400"/>
    </w:p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openxmlformats.org/officeDocument/2006/relationships/footer" Target="footer4.xml" /><Relationship Id="rId11" Type="http://schemas.openxmlformats.org/officeDocument/2006/relationships/image" Target="media/image1.emf" /><Relationship Id="rId12" Type="http://schemas.openxmlformats.org/officeDocument/2006/relationships/image" Target="media/image2.emf" /><Relationship Id="rId13" Type="http://schemas.openxmlformats.org/officeDocument/2006/relationships/image" Target="media/image3.emf" /><Relationship Id="rId14" Type="http://schemas.openxmlformats.org/officeDocument/2006/relationships/image" Target="media/image4.emf" /><Relationship Id="rId15" Type="http://schemas.openxmlformats.org/officeDocument/2006/relationships/image" Target="media/image5.emf" /><Relationship Id="rId16" Type="http://schemas.openxmlformats.org/officeDocument/2006/relationships/image" Target="media/image6.emf" /><Relationship Id="rId1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968</TotalTime>
  <Pages>32</Pages>
  <Words>221</Words>
  <Characters>34037</Characters>
  <Application>JUST Note</Application>
  <Lines>87171</Lines>
  <Paragraphs>971</Paragraphs>
  <CharactersWithSpaces>35096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rikuto-sasaki</dc:creator>
  <cp:lastModifiedBy>sora-itou</cp:lastModifiedBy>
  <cp:lastPrinted>2026-02-19T05:08:36Z</cp:lastPrinted>
  <dcterms:created xsi:type="dcterms:W3CDTF">2025-02-05T02:35:00Z</dcterms:created>
  <dcterms:modified xsi:type="dcterms:W3CDTF">2026-02-19T08:19:50Z</dcterms:modified>
  <cp:revision>19</cp:revision>
</cp:coreProperties>
</file>